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F690" w14:textId="77777777" w:rsidR="00EA407D" w:rsidRDefault="00EA407D" w:rsidP="000F5542">
      <w:pPr>
        <w:jc w:val="both"/>
      </w:pPr>
    </w:p>
    <w:p w14:paraId="018EACC3" w14:textId="77777777" w:rsidR="00EA407D" w:rsidRDefault="00EA407D" w:rsidP="000F5542">
      <w:pPr>
        <w:jc w:val="both"/>
      </w:pPr>
    </w:p>
    <w:p w14:paraId="59865C07" w14:textId="77777777" w:rsidR="00EA407D" w:rsidRDefault="00EA407D" w:rsidP="000F5542">
      <w:pPr>
        <w:jc w:val="both"/>
      </w:pPr>
    </w:p>
    <w:p w14:paraId="12855250" w14:textId="77777777" w:rsidR="00EA407D" w:rsidRDefault="00EA407D" w:rsidP="000F5542">
      <w:pPr>
        <w:jc w:val="both"/>
      </w:pPr>
    </w:p>
    <w:p w14:paraId="1FB376DE" w14:textId="77777777" w:rsidR="00EA407D" w:rsidRDefault="00EA407D" w:rsidP="000F5542">
      <w:pPr>
        <w:jc w:val="both"/>
      </w:pPr>
    </w:p>
    <w:p w14:paraId="42E3F824" w14:textId="77777777" w:rsidR="00EA407D" w:rsidRDefault="00EA407D" w:rsidP="000F5542">
      <w:pPr>
        <w:jc w:val="both"/>
      </w:pPr>
    </w:p>
    <w:p w14:paraId="3EB36095" w14:textId="77777777" w:rsidR="00EA407D" w:rsidRDefault="00EA407D" w:rsidP="000F5542">
      <w:pPr>
        <w:jc w:val="both"/>
      </w:pPr>
    </w:p>
    <w:p w14:paraId="028D165D" w14:textId="77777777" w:rsidR="00EA407D" w:rsidRDefault="00EA407D" w:rsidP="000F5542">
      <w:pPr>
        <w:jc w:val="both"/>
      </w:pPr>
    </w:p>
    <w:p w14:paraId="799FA647" w14:textId="77777777" w:rsidR="00EA407D" w:rsidRDefault="00EA407D" w:rsidP="000F5542">
      <w:pPr>
        <w:jc w:val="both"/>
      </w:pPr>
    </w:p>
    <w:p w14:paraId="7CBAF059" w14:textId="77777777" w:rsidR="00EA407D" w:rsidRDefault="00EA407D" w:rsidP="000F5542">
      <w:pPr>
        <w:jc w:val="both"/>
      </w:pPr>
    </w:p>
    <w:p w14:paraId="2AA36F29" w14:textId="77777777" w:rsidR="00EA407D" w:rsidRDefault="00EA407D" w:rsidP="000F5542">
      <w:pPr>
        <w:jc w:val="both"/>
      </w:pPr>
    </w:p>
    <w:p w14:paraId="5AEC2FDD" w14:textId="77777777" w:rsidR="00EA407D" w:rsidRDefault="00EA407D" w:rsidP="000F5542">
      <w:pPr>
        <w:jc w:val="both"/>
      </w:pPr>
    </w:p>
    <w:p w14:paraId="31F5256D" w14:textId="746DD695" w:rsidR="00CD0412" w:rsidRDefault="00B14E7F" w:rsidP="000F5542">
      <w:pPr>
        <w:jc w:val="both"/>
      </w:pPr>
      <w:r>
        <w:rPr>
          <w:noProof/>
        </w:rPr>
        <mc:AlternateContent>
          <mc:Choice Requires="wps">
            <w:drawing>
              <wp:anchor distT="0" distB="0" distL="114300" distR="114300" simplePos="0" relativeHeight="251659264" behindDoc="0" locked="0" layoutInCell="1" allowOverlap="1" wp14:anchorId="5D3A8DA5" wp14:editId="34CE0452">
                <wp:simplePos x="0" y="0"/>
                <wp:positionH relativeFrom="margin">
                  <wp:posOffset>-891</wp:posOffset>
                </wp:positionH>
                <wp:positionV relativeFrom="paragraph">
                  <wp:posOffset>176682</wp:posOffset>
                </wp:positionV>
                <wp:extent cx="5793105" cy="19907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793105" cy="1990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7C9DF1" w14:textId="52A7AB2A" w:rsidR="00535460" w:rsidRPr="00B14E7F" w:rsidRDefault="00B14E7F" w:rsidP="00535460">
                            <w:pPr>
                              <w:tabs>
                                <w:tab w:val="left" w:pos="2268"/>
                              </w:tabs>
                              <w:rPr>
                                <w:rFonts w:ascii="Inter UI" w:hAnsi="Inter UI" w:cs="Arial"/>
                                <w:b/>
                                <w:color w:val="FFFFFF" w:themeColor="background1"/>
                                <w:sz w:val="56"/>
                                <w:szCs w:val="56"/>
                                <w:lang w:val="en-US"/>
                              </w:rPr>
                            </w:pPr>
                            <w:r>
                              <w:rPr>
                                <w:rFonts w:ascii="Inter UI" w:hAnsi="Inter UI" w:cs="Arial"/>
                                <w:b/>
                                <w:color w:val="FFFFFF" w:themeColor="background1"/>
                                <w:sz w:val="56"/>
                                <w:szCs w:val="56"/>
                                <w:lang w:val="en-US"/>
                              </w:rPr>
                              <w:t>AFB POLICY WORKING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3A8DA5" id="_x0000_t202" coordsize="21600,21600" o:spt="202" path="m,l,21600r21600,l21600,xe">
                <v:stroke joinstyle="miter"/>
                <v:path gradientshapeok="t" o:connecttype="rect"/>
              </v:shapetype>
              <v:shape id="Text Box 8" o:spid="_x0000_s1026" type="#_x0000_t202" style="position:absolute;left:0;text-align:left;margin-left:-.05pt;margin-top:13.9pt;width:456.15pt;height:156.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" filled="f" stroked="f">
                <v:textbox>
                  <w:txbxContent>
                    <w:p w14:paraId="4E7C9DF1" w14:textId="52A7AB2A" w:rsidR="00535460" w:rsidRPr="00B14E7F" w:rsidRDefault="00B14E7F" w:rsidP="00535460">
                      <w:pPr>
                        <w:tabs>
                          <w:tab w:val="left" w:pos="2268"/>
                        </w:tabs>
                        <w:rPr>
                          <w:rFonts w:ascii="Inter UI" w:hAnsi="Inter UI" w:cs="Arial"/>
                          <w:b/>
                          <w:color w:val="FFFFFF" w:themeColor="background1"/>
                          <w:sz w:val="56"/>
                          <w:szCs w:val="56"/>
                          <w:lang w:val="en-US"/>
                        </w:rPr>
                      </w:pPr>
                      <w:r>
                        <w:rPr>
                          <w:rFonts w:ascii="Inter UI" w:hAnsi="Inter UI" w:cs="Arial"/>
                          <w:b/>
                          <w:color w:val="FFFFFF" w:themeColor="background1"/>
                          <w:sz w:val="56"/>
                          <w:szCs w:val="56"/>
                          <w:lang w:val="en-US"/>
                        </w:rPr>
                        <w:t>AFB POLICY WORKING GROUPS</w:t>
                      </w:r>
                    </w:p>
                  </w:txbxContent>
                </v:textbox>
                <w10:wrap anchorx="margin"/>
              </v:shape>
            </w:pict>
          </mc:Fallback>
        </mc:AlternateContent>
      </w:r>
    </w:p>
    <w:p w14:paraId="24A98EE8" w14:textId="1E1A5CFB" w:rsidR="00551D44" w:rsidRDefault="00CD0412" w:rsidP="000F5542">
      <w:pPr>
        <w:jc w:val="both"/>
      </w:pPr>
      <w:r>
        <w:br w:type="page"/>
      </w:r>
    </w:p>
    <w:p w14:paraId="17DC18A0" w14:textId="6164E522" w:rsidR="006E5A82" w:rsidRDefault="006E5A82" w:rsidP="000F5542">
      <w:pPr>
        <w:pStyle w:val="DocumentHeading"/>
        <w:jc w:val="both"/>
      </w:pPr>
      <w:r w:rsidRPr="00812487">
        <w:lastRenderedPageBreak/>
        <w:t xml:space="preserve">AFB </w:t>
      </w:r>
      <w:r w:rsidR="00B14E7F">
        <w:t>POLICY WORKING GROUPS</w:t>
      </w:r>
    </w:p>
    <w:p w14:paraId="4CE9BE65" w14:textId="77777777" w:rsidR="00B14E7F" w:rsidRPr="00090A35" w:rsidRDefault="00B14E7F" w:rsidP="000F5542">
      <w:pPr>
        <w:pStyle w:val="CharacterSubHeading"/>
        <w:jc w:val="both"/>
        <w:rPr>
          <w:lang w:val="en-US"/>
        </w:rPr>
      </w:pPr>
      <w:r w:rsidRPr="00090A35">
        <w:rPr>
          <w:lang w:val="en-US"/>
        </w:rPr>
        <w:t>Standing Working Groups</w:t>
      </w:r>
    </w:p>
    <w:p w14:paraId="2F8ED39B" w14:textId="77777777" w:rsidR="0070657F" w:rsidRPr="00090A35" w:rsidRDefault="0070657F" w:rsidP="000F5542">
      <w:pPr>
        <w:pStyle w:val="BodyBullets"/>
        <w:jc w:val="both"/>
      </w:pPr>
      <w:r w:rsidRPr="00090A35">
        <w:rPr>
          <w:b/>
          <w:bCs/>
          <w:lang w:val="en-US"/>
        </w:rPr>
        <w:t>Policy and Regulatory Network (PRN):</w:t>
      </w:r>
      <w:r w:rsidRPr="00090A35">
        <w:rPr>
          <w:lang w:val="en-US"/>
        </w:rPr>
        <w:t xml:space="preserve"> The purpose of the PRN is</w:t>
      </w:r>
      <w:r w:rsidRPr="00090A35">
        <w:t xml:space="preserve"> </w:t>
      </w:r>
      <w:r w:rsidRPr="00090A35">
        <w:rPr>
          <w:lang w:val="en-US"/>
        </w:rPr>
        <w:t xml:space="preserve">to understand and represent the policy/regulatory concerns of AFB members and advocate on their behalf with regulators and policymakers. </w:t>
      </w:r>
    </w:p>
    <w:p w14:paraId="05BA8D61" w14:textId="0F870261" w:rsidR="0070657F" w:rsidRPr="00090A35" w:rsidRDefault="0070657F" w:rsidP="000F5542">
      <w:pPr>
        <w:pStyle w:val="BodyCopy"/>
        <w:ind w:left="709"/>
        <w:jc w:val="both"/>
      </w:pPr>
      <w:r w:rsidRPr="00090A35">
        <w:t xml:space="preserve">During meetings, AFB members </w:t>
      </w:r>
      <w:proofErr w:type="gramStart"/>
      <w:r w:rsidRPr="00090A35">
        <w:t>have the opportunity to</w:t>
      </w:r>
      <w:proofErr w:type="gramEnd"/>
      <w:r w:rsidRPr="00090A35">
        <w:t xml:space="preserve"> discuss prevalent </w:t>
      </w:r>
      <w:proofErr w:type="gramStart"/>
      <w:r w:rsidRPr="00090A35">
        <w:t>policy</w:t>
      </w:r>
      <w:proofErr w:type="gramEnd"/>
      <w:r w:rsidRPr="00090A35">
        <w:t xml:space="preserve"> and regulatory topics. </w:t>
      </w:r>
      <w:r w:rsidR="00C65160">
        <w:t>Recent t</w:t>
      </w:r>
      <w:r w:rsidRPr="00090A35">
        <w:t xml:space="preserve">opics discussed </w:t>
      </w:r>
      <w:proofErr w:type="gramStart"/>
      <w:r w:rsidRPr="00090A35">
        <w:t>include,</w:t>
      </w:r>
      <w:proofErr w:type="gramEnd"/>
      <w:r w:rsidRPr="00090A35">
        <w:t xml:space="preserve"> Basel 3.1, the Foreign Influence and Registration Scheme, the FCA’s approach to enforcement etc.</w:t>
      </w:r>
    </w:p>
    <w:p w14:paraId="6D6F692A" w14:textId="77777777" w:rsidR="0070657F" w:rsidRPr="00090A35" w:rsidRDefault="0070657F" w:rsidP="000F5542">
      <w:pPr>
        <w:pStyle w:val="BodyCopy"/>
        <w:ind w:left="709"/>
        <w:jc w:val="both"/>
      </w:pPr>
      <w:r w:rsidRPr="00090A35">
        <w:t>The Network also undertakes the following activities:</w:t>
      </w:r>
    </w:p>
    <w:p w14:paraId="662265F8" w14:textId="77777777" w:rsidR="0070657F" w:rsidRPr="0070657F" w:rsidRDefault="0070657F" w:rsidP="000F5542">
      <w:pPr>
        <w:pStyle w:val="BodyBullets"/>
        <w:ind w:left="993" w:hanging="284"/>
        <w:jc w:val="both"/>
      </w:pPr>
      <w:r w:rsidRPr="0070657F">
        <w:t>Coordinates AFB members’ responses to policy and other consultations and, where appropriate, convenes directly with (mainly UK) regulators/policymakers in roundtable and other formats on specific areas of interest</w:t>
      </w:r>
    </w:p>
    <w:p w14:paraId="50AEC2B8" w14:textId="77777777" w:rsidR="0070657F" w:rsidRPr="0070657F" w:rsidRDefault="0070657F" w:rsidP="000F5542">
      <w:pPr>
        <w:pStyle w:val="BodyBullets"/>
        <w:ind w:left="993" w:hanging="284"/>
        <w:jc w:val="both"/>
      </w:pPr>
      <w:r w:rsidRPr="0070657F">
        <w:t>Provides regular updates (by email) on important policy/regulatory developments</w:t>
      </w:r>
    </w:p>
    <w:p w14:paraId="5B70EEB3" w14:textId="77777777" w:rsidR="0070657F" w:rsidRPr="0070657F" w:rsidRDefault="0070657F" w:rsidP="000F5542">
      <w:pPr>
        <w:pStyle w:val="BodyBullets"/>
        <w:ind w:left="993" w:hanging="284"/>
        <w:jc w:val="both"/>
      </w:pPr>
      <w:r w:rsidRPr="0070657F">
        <w:t>Scans the horizon for future issues and commissions research where appropriate</w:t>
      </w:r>
    </w:p>
    <w:p w14:paraId="16822B69" w14:textId="77777777" w:rsidR="0070657F" w:rsidRPr="0070657F" w:rsidRDefault="0070657F" w:rsidP="000F5542">
      <w:pPr>
        <w:pStyle w:val="BodyBullets"/>
        <w:ind w:left="993" w:hanging="284"/>
        <w:jc w:val="both"/>
      </w:pPr>
      <w:r w:rsidRPr="0070657F">
        <w:t>Provides networking opportunities to members</w:t>
      </w:r>
    </w:p>
    <w:p w14:paraId="1AC82194" w14:textId="77777777" w:rsidR="0070657F" w:rsidRPr="0070657F" w:rsidRDefault="0070657F" w:rsidP="000F5542">
      <w:pPr>
        <w:pStyle w:val="BodyBullets"/>
        <w:ind w:left="993" w:hanging="284"/>
        <w:jc w:val="both"/>
      </w:pPr>
      <w:r w:rsidRPr="0070657F">
        <w:t>Provides input into the AFB’s programme of practice and events in relation to technical/policy matters, so that the need for educational and networking opportunities for regulatory personnel can be serviced.</w:t>
      </w:r>
    </w:p>
    <w:p w14:paraId="423C5C1C" w14:textId="77777777" w:rsidR="00E1415A" w:rsidRDefault="0070657F" w:rsidP="000F5542">
      <w:pPr>
        <w:pStyle w:val="BodyCopy"/>
        <w:ind w:left="709"/>
        <w:jc w:val="both"/>
      </w:pPr>
      <w:r w:rsidRPr="00090A35">
        <w:t xml:space="preserve">The Network meets </w:t>
      </w:r>
      <w:proofErr w:type="gramStart"/>
      <w:r w:rsidRPr="00090A35">
        <w:t>in-person</w:t>
      </w:r>
      <w:proofErr w:type="gramEnd"/>
      <w:r w:rsidRPr="00090A35">
        <w:t xml:space="preserve"> </w:t>
      </w:r>
      <w:r w:rsidR="00C65160">
        <w:t>5 times a year</w:t>
      </w:r>
      <w:r w:rsidRPr="00090A35">
        <w:t xml:space="preserve"> for a 90-minute session.</w:t>
      </w:r>
    </w:p>
    <w:p w14:paraId="13B0BBF1" w14:textId="4F85ABC9" w:rsidR="002858EF" w:rsidRPr="00E1415A" w:rsidRDefault="0070657F" w:rsidP="000F5542">
      <w:pPr>
        <w:pStyle w:val="BodyCopy"/>
        <w:numPr>
          <w:ilvl w:val="0"/>
          <w:numId w:val="29"/>
        </w:numPr>
        <w:jc w:val="both"/>
      </w:pPr>
      <w:r w:rsidRPr="00E1415A">
        <w:rPr>
          <w:b/>
          <w:bCs/>
        </w:rPr>
        <w:t xml:space="preserve">Climate Financial Risk: </w:t>
      </w:r>
      <w:r w:rsidR="00E1415A" w:rsidRPr="00E1415A">
        <w:rPr>
          <w:color w:val="00204B" w:themeColor="text1"/>
        </w:rPr>
        <w:t>This Working Group was formed to feed into discussions and policy matters relating to climate-related risk.</w:t>
      </w:r>
      <w:r w:rsidR="00E1415A">
        <w:t xml:space="preserve"> </w:t>
      </w:r>
      <w:r w:rsidR="00E1415A" w:rsidRPr="00E1415A">
        <w:rPr>
          <w:color w:val="00204B" w:themeColor="text1"/>
        </w:rPr>
        <w:t>The WG is chaired by Bobby Charalambous, Climate Risk Director, Group Regulatory Compliance and Policy, ANZ, and meets quarterly.</w:t>
      </w:r>
      <w:r w:rsidR="00E1415A">
        <w:t xml:space="preserve"> </w:t>
      </w:r>
      <w:r w:rsidR="00E1415A" w:rsidRPr="00E1415A">
        <w:rPr>
          <w:color w:val="00204B" w:themeColor="text1"/>
        </w:rPr>
        <w:t>AFB has been interacting with policymakers and stakeholders including the PRA and the </w:t>
      </w:r>
      <w:hyperlink r:id="rId7" w:history="1">
        <w:r w:rsidR="00E1415A" w:rsidRPr="00E1415A">
          <w:rPr>
            <w:rStyle w:val="Hyperlink"/>
          </w:rPr>
          <w:t>Climate Financial Risk Forum</w:t>
        </w:r>
      </w:hyperlink>
      <w:r w:rsidR="00E1415A" w:rsidRPr="00E1415A">
        <w:rPr>
          <w:color w:val="00204B" w:themeColor="text1"/>
        </w:rPr>
        <w:t> on this topic.</w:t>
      </w:r>
      <w:r w:rsidR="00E1415A">
        <w:t xml:space="preserve"> </w:t>
      </w:r>
      <w:r w:rsidR="00E1415A" w:rsidRPr="00E1415A">
        <w:rPr>
          <w:color w:val="00204B" w:themeColor="text1"/>
        </w:rPr>
        <w:t>Members of this group informed the January 2024 </w:t>
      </w:r>
      <w:hyperlink r:id="rId8" w:history="1">
        <w:r w:rsidR="00E1415A" w:rsidRPr="00E1415A">
          <w:rPr>
            <w:rStyle w:val="Hyperlink"/>
          </w:rPr>
          <w:t>AFB response</w:t>
        </w:r>
      </w:hyperlink>
      <w:r w:rsidR="00E1415A" w:rsidRPr="00E1415A">
        <w:rPr>
          <w:color w:val="00204B" w:themeColor="text1"/>
        </w:rPr>
        <w:t> to the FCA’s </w:t>
      </w:r>
      <w:hyperlink r:id="rId9" w:history="1">
        <w:r w:rsidR="00E1415A" w:rsidRPr="00E1415A">
          <w:rPr>
            <w:rStyle w:val="Hyperlink"/>
          </w:rPr>
          <w:t>Guidance</w:t>
        </w:r>
        <w:r w:rsidR="00E1415A">
          <w:rPr>
            <w:rStyle w:val="Hyperlink"/>
          </w:rPr>
          <w:t xml:space="preserve"> </w:t>
        </w:r>
        <w:r w:rsidR="00E1415A" w:rsidRPr="00E1415A">
          <w:rPr>
            <w:rStyle w:val="Hyperlink"/>
          </w:rPr>
          <w:t>Consultation 23/3 on the Anti-Greenwashing rule</w:t>
        </w:r>
      </w:hyperlink>
      <w:r w:rsidR="00E1415A" w:rsidRPr="00E1415A">
        <w:rPr>
          <w:color w:val="00204B" w:themeColor="text1"/>
        </w:rPr>
        <w:t> which came into force on 31 May 2024, and the February 2025 </w:t>
      </w:r>
      <w:hyperlink r:id="rId10" w:history="1">
        <w:r w:rsidR="00E1415A" w:rsidRPr="00E1415A">
          <w:rPr>
            <w:rStyle w:val="Hyperlink"/>
          </w:rPr>
          <w:t>AFB response</w:t>
        </w:r>
      </w:hyperlink>
      <w:r w:rsidR="00E1415A" w:rsidRPr="00E1415A">
        <w:rPr>
          <w:color w:val="00204B" w:themeColor="text1"/>
        </w:rPr>
        <w:t> to the </w:t>
      </w:r>
      <w:hyperlink r:id="rId11" w:history="1">
        <w:r w:rsidR="00E1415A" w:rsidRPr="00E1415A">
          <w:rPr>
            <w:rStyle w:val="Hyperlink"/>
          </w:rPr>
          <w:t>HMT UK Green Taxonomy consultation</w:t>
        </w:r>
      </w:hyperlink>
      <w:r w:rsidR="00E1415A" w:rsidRPr="00E1415A">
        <w:rPr>
          <w:color w:val="00204B" w:themeColor="text1"/>
        </w:rPr>
        <w:t xml:space="preserve">. The WG </w:t>
      </w:r>
      <w:r w:rsidR="00F7219D">
        <w:rPr>
          <w:color w:val="00204B" w:themeColor="text1"/>
        </w:rPr>
        <w:t xml:space="preserve">last </w:t>
      </w:r>
      <w:r w:rsidR="00E1415A" w:rsidRPr="00E1415A">
        <w:rPr>
          <w:color w:val="00204B" w:themeColor="text1"/>
        </w:rPr>
        <w:t>held a virtual meeting in June</w:t>
      </w:r>
      <w:r w:rsidR="00843873">
        <w:rPr>
          <w:color w:val="00204B" w:themeColor="text1"/>
        </w:rPr>
        <w:t xml:space="preserve"> 2025</w:t>
      </w:r>
      <w:r w:rsidR="00E1415A" w:rsidRPr="00E1415A">
        <w:rPr>
          <w:color w:val="00204B" w:themeColor="text1"/>
        </w:rPr>
        <w:t xml:space="preserve"> to discuss AFB’s response to PRA  ‘</w:t>
      </w:r>
      <w:hyperlink r:id="rId12" w:history="1">
        <w:r w:rsidR="00E1415A" w:rsidRPr="00E1415A">
          <w:rPr>
            <w:rStyle w:val="Hyperlink"/>
          </w:rPr>
          <w:t>CP10/25 ‘Enhancing banks’ and insurers’ approaches to managing climate-related risks – Update to SS3/19’</w:t>
        </w:r>
      </w:hyperlink>
      <w:r w:rsidR="00EA6308">
        <w:rPr>
          <w:color w:val="00204B" w:themeColor="text1"/>
        </w:rPr>
        <w:t>, wh</w:t>
      </w:r>
      <w:r w:rsidR="007D4C05">
        <w:rPr>
          <w:color w:val="00204B" w:themeColor="text1"/>
        </w:rPr>
        <w:t>ich informed AFB’s response</w:t>
      </w:r>
      <w:r w:rsidR="00DC6A12">
        <w:rPr>
          <w:color w:val="00204B" w:themeColor="text1"/>
        </w:rPr>
        <w:t xml:space="preserve"> submitted in July 2025</w:t>
      </w:r>
      <w:r w:rsidR="007D4C05">
        <w:rPr>
          <w:color w:val="00204B" w:themeColor="text1"/>
        </w:rPr>
        <w:t xml:space="preserve"> (see </w:t>
      </w:r>
      <w:hyperlink r:id="rId13" w:history="1">
        <w:r w:rsidR="007D4C05" w:rsidRPr="007D4C05">
          <w:rPr>
            <w:rStyle w:val="Hyperlink"/>
          </w:rPr>
          <w:t>here</w:t>
        </w:r>
      </w:hyperlink>
      <w:r w:rsidR="007D4C05">
        <w:rPr>
          <w:color w:val="00204B" w:themeColor="text1"/>
        </w:rPr>
        <w:t>)</w:t>
      </w:r>
    </w:p>
    <w:p w14:paraId="391204D4" w14:textId="6D314B07" w:rsidR="00B14E7F" w:rsidRPr="002935DE" w:rsidRDefault="0037037F" w:rsidP="000F5542">
      <w:pPr>
        <w:pStyle w:val="BodyBullets"/>
        <w:ind w:left="714" w:hanging="357"/>
        <w:jc w:val="both"/>
        <w:rPr>
          <w:lang w:val="en-US"/>
        </w:rPr>
      </w:pPr>
      <w:r>
        <w:rPr>
          <w:b/>
          <w:bCs/>
          <w:lang w:val="en-US"/>
        </w:rPr>
        <w:t>Financial Crime Compliance</w:t>
      </w:r>
      <w:r w:rsidR="00B14E7F" w:rsidRPr="002858EF">
        <w:rPr>
          <w:b/>
          <w:bCs/>
          <w:lang w:val="en-US"/>
        </w:rPr>
        <w:t>:</w:t>
      </w:r>
      <w:r w:rsidR="00B14E7F" w:rsidRPr="002858EF">
        <w:rPr>
          <w:lang w:val="en-US"/>
        </w:rPr>
        <w:t xml:space="preserve"> </w:t>
      </w:r>
      <w:r w:rsidR="00C65160" w:rsidRPr="00C65160">
        <w:t xml:space="preserve">This Working Group </w:t>
      </w:r>
      <w:r w:rsidR="00D161F3">
        <w:t>focuses on</w:t>
      </w:r>
      <w:r w:rsidR="00C65160" w:rsidRPr="00C65160">
        <w:t xml:space="preserve"> discussions and policy matters relating to Money Laundering Reporting in the UK. AFB is interacting with policy makers and stakeholders, including the FCA, HMT and OFSI, on this topic.</w:t>
      </w:r>
      <w:r w:rsidR="00C65160">
        <w:t xml:space="preserve"> </w:t>
      </w:r>
      <w:r w:rsidR="00C65160" w:rsidRPr="00C65160">
        <w:t xml:space="preserve">The WG is chaired by Carly Blades, Managing Director &amp; Head of Europe FCC, The Bank of Nova Scotia, and Richard Wall, MLRO, Türkiye Is </w:t>
      </w:r>
      <w:proofErr w:type="spellStart"/>
      <w:r w:rsidR="00C65160" w:rsidRPr="00C65160">
        <w:t>Bankasi</w:t>
      </w:r>
      <w:proofErr w:type="spellEnd"/>
      <w:r w:rsidR="00C65160" w:rsidRPr="00C65160">
        <w:t xml:space="preserve"> AS, and meets quarterly. The Terms of Reference of the WG can be read </w:t>
      </w:r>
      <w:hyperlink r:id="rId14" w:history="1">
        <w:r w:rsidR="00C65160" w:rsidRPr="00C65160">
          <w:rPr>
            <w:rStyle w:val="Hyperlink"/>
          </w:rPr>
          <w:t>here</w:t>
        </w:r>
      </w:hyperlink>
      <w:r w:rsidR="00C65160" w:rsidRPr="00C65160">
        <w:t>.</w:t>
      </w:r>
      <w:r w:rsidR="00C65160">
        <w:t xml:space="preserve"> </w:t>
      </w:r>
      <w:r w:rsidR="00C65160" w:rsidRPr="00C65160">
        <w:t>The Working Group has submitted responses to a number of recent consultations, for example the FCA </w:t>
      </w:r>
      <w:hyperlink r:id="rId15" w:history="1">
        <w:r w:rsidR="00C65160" w:rsidRPr="00C65160">
          <w:rPr>
            <w:rStyle w:val="Hyperlink"/>
          </w:rPr>
          <w:t>Guidance Consultation 24/4 on proposed amendments to the Guidance on the treatment of Politically Exposed Persons</w:t>
        </w:r>
      </w:hyperlink>
      <w:r w:rsidR="00C65160" w:rsidRPr="00C65160">
        <w:t> (</w:t>
      </w:r>
      <w:hyperlink r:id="rId16" w:history="1">
        <w:r w:rsidR="00C65160" w:rsidRPr="00C65160">
          <w:rPr>
            <w:rStyle w:val="Hyperlink"/>
          </w:rPr>
          <w:t>here</w:t>
        </w:r>
      </w:hyperlink>
      <w:r w:rsidR="00C65160" w:rsidRPr="00C65160">
        <w:t>), and the </w:t>
      </w:r>
      <w:hyperlink r:id="rId17" w:history="1">
        <w:r w:rsidR="00C65160" w:rsidRPr="00C65160">
          <w:rPr>
            <w:rStyle w:val="Hyperlink"/>
          </w:rPr>
          <w:t xml:space="preserve">HMT Consultation on improving the effectiveness of the </w:t>
        </w:r>
        <w:r w:rsidR="00C65160" w:rsidRPr="00C65160">
          <w:rPr>
            <w:rStyle w:val="Hyperlink"/>
          </w:rPr>
          <w:lastRenderedPageBreak/>
          <w:t>MLRs</w:t>
        </w:r>
      </w:hyperlink>
      <w:r w:rsidR="00C65160" w:rsidRPr="00C65160">
        <w:t> (</w:t>
      </w:r>
      <w:hyperlink r:id="rId18" w:history="1">
        <w:r w:rsidR="00C65160" w:rsidRPr="00C65160">
          <w:rPr>
            <w:rStyle w:val="Hyperlink"/>
          </w:rPr>
          <w:t>here</w:t>
        </w:r>
      </w:hyperlink>
      <w:r w:rsidR="00C65160" w:rsidRPr="00C65160">
        <w:t>).</w:t>
      </w:r>
      <w:r w:rsidR="009D3D7A">
        <w:t xml:space="preserve"> </w:t>
      </w:r>
      <w:r w:rsidR="00585DAE">
        <w:t>On 15 July 2025, t</w:t>
      </w:r>
      <w:r w:rsidR="009D3D7A">
        <w:t xml:space="preserve">he FCA published </w:t>
      </w:r>
      <w:r w:rsidR="00585DAE">
        <w:t xml:space="preserve">FG25/3, </w:t>
      </w:r>
      <w:r w:rsidR="009D3D7A">
        <w:t>its final</w:t>
      </w:r>
      <w:r w:rsidR="00585DAE">
        <w:t>ised</w:t>
      </w:r>
      <w:r w:rsidR="009D3D7A">
        <w:t xml:space="preserve"> guidance </w:t>
      </w:r>
      <w:r w:rsidR="009C093B">
        <w:t>on the Treatment of Politically Exposed Persons (</w:t>
      </w:r>
      <w:hyperlink r:id="rId19" w:history="1">
        <w:r w:rsidR="009C093B" w:rsidRPr="00826793">
          <w:rPr>
            <w:rStyle w:val="Hyperlink"/>
          </w:rPr>
          <w:t>here</w:t>
        </w:r>
      </w:hyperlink>
      <w:r w:rsidR="009C093B">
        <w:t>)</w:t>
      </w:r>
      <w:r w:rsidR="00826793">
        <w:t>.</w:t>
      </w:r>
      <w:r w:rsidR="00826793" w:rsidRPr="00826793">
        <w:t xml:space="preserve"> </w:t>
      </w:r>
      <w:r w:rsidR="00826793">
        <w:t>On 17 July 2025 HM Treasury published its  response to the feedback received in response to its consultation on Improving the effectiveness of the Money Laundering Regulations (</w:t>
      </w:r>
      <w:hyperlink r:id="rId20" w:history="1">
        <w:r w:rsidR="00826793" w:rsidRPr="00826793">
          <w:rPr>
            <w:rStyle w:val="Hyperlink"/>
          </w:rPr>
          <w:t>here</w:t>
        </w:r>
      </w:hyperlink>
      <w:r w:rsidR="00826793">
        <w:t>).</w:t>
      </w:r>
    </w:p>
    <w:p w14:paraId="502098EE" w14:textId="36C7A71D" w:rsidR="00D228C0" w:rsidRPr="000F5542" w:rsidRDefault="002935DE" w:rsidP="000F5542">
      <w:pPr>
        <w:pStyle w:val="BodyBullets"/>
        <w:jc w:val="both"/>
        <w:rPr>
          <w:lang w:val="en-US"/>
        </w:rPr>
      </w:pPr>
      <w:r w:rsidRPr="000F5542">
        <w:rPr>
          <w:b/>
          <w:bCs/>
          <w:lang w:val="en-US"/>
        </w:rPr>
        <w:t>NEDs Forum:</w:t>
      </w:r>
      <w:r w:rsidRPr="000F5542">
        <w:rPr>
          <w:lang w:val="en-US"/>
        </w:rPr>
        <w:t xml:space="preserve"> </w:t>
      </w:r>
      <w:r>
        <w:t xml:space="preserve">The Non-Executive Directors (NEDs) forum is designed to address issues faced by NEDs in balancing their responsibilities to the company and regulatory expectations. </w:t>
      </w:r>
      <w:r w:rsidRPr="002935DE">
        <w:t>The NEDs forum convenes twice a year and provides an opportunity for attendees to benchmark against other NEDs who work with international banks and allow them to share experiences.</w:t>
      </w:r>
      <w:r w:rsidR="000E1D62">
        <w:t xml:space="preserve"> The last NEDs </w:t>
      </w:r>
      <w:r w:rsidR="008F30D9">
        <w:t>F</w:t>
      </w:r>
      <w:r w:rsidR="000E1D62">
        <w:t xml:space="preserve">orum meeting was held </w:t>
      </w:r>
      <w:r w:rsidR="00A617CE">
        <w:t>in</w:t>
      </w:r>
      <w:r w:rsidR="000C7026">
        <w:t xml:space="preserve"> March</w:t>
      </w:r>
      <w:r w:rsidR="001A6EE6">
        <w:t xml:space="preserve"> 2</w:t>
      </w:r>
      <w:r w:rsidR="006C4E17">
        <w:t>025</w:t>
      </w:r>
      <w:r w:rsidR="00D34631">
        <w:t>.</w:t>
      </w:r>
    </w:p>
    <w:p w14:paraId="14DAD471" w14:textId="319C009E" w:rsidR="0070657F" w:rsidRPr="00090A35" w:rsidRDefault="00D228C0" w:rsidP="000F5542">
      <w:pPr>
        <w:pStyle w:val="BodyBullets"/>
        <w:jc w:val="both"/>
        <w:rPr>
          <w:lang w:val="en-US"/>
        </w:rPr>
      </w:pPr>
      <w:r w:rsidRPr="00D228C0">
        <w:rPr>
          <w:b/>
          <w:bCs/>
        </w:rPr>
        <w:t>Tax Policy:</w:t>
      </w:r>
      <w:r w:rsidRPr="00D228C0">
        <w:t xml:space="preserve"> </w:t>
      </w:r>
      <w:r w:rsidR="00EE12E6">
        <w:t>This WG was created to</w:t>
      </w:r>
      <w:r w:rsidRPr="00D228C0">
        <w:t xml:space="preserve"> identify tax related issues specific to international banks operating in the UK. The group will identify challenges, provide insight into how that </w:t>
      </w:r>
      <w:proofErr w:type="gramStart"/>
      <w:r w:rsidRPr="00D228C0">
        <w:t>has an effect on</w:t>
      </w:r>
      <w:proofErr w:type="gramEnd"/>
      <w:r w:rsidRPr="00D228C0">
        <w:t xml:space="preserve"> the competitiveness of international banks operating in the UK, and propose potential solutions or more efficient ways to operate.</w:t>
      </w:r>
      <w:r w:rsidR="00C65160">
        <w:t xml:space="preserve"> </w:t>
      </w:r>
      <w:r w:rsidR="00C65160" w:rsidRPr="00C65160">
        <w:t>The Terms of Reference of the WG can be read </w:t>
      </w:r>
      <w:hyperlink r:id="rId21" w:history="1">
        <w:r w:rsidR="00C65160" w:rsidRPr="00C65160">
          <w:rPr>
            <w:rStyle w:val="Hyperlink"/>
          </w:rPr>
          <w:t>here.</w:t>
        </w:r>
      </w:hyperlink>
      <w:r w:rsidR="008F30D9">
        <w:t xml:space="preserve"> The last Tax Policy WG was held on 2 July 2025.</w:t>
      </w:r>
    </w:p>
    <w:p w14:paraId="33577D11" w14:textId="59783212" w:rsidR="00B14E7F" w:rsidRPr="00090A35" w:rsidRDefault="00B14E7F" w:rsidP="000F5542">
      <w:pPr>
        <w:pStyle w:val="CharacterSubHeading"/>
        <w:jc w:val="both"/>
        <w:rPr>
          <w:lang w:val="en-US"/>
        </w:rPr>
      </w:pPr>
      <w:r w:rsidRPr="00090A35">
        <w:rPr>
          <w:lang w:val="en-US"/>
        </w:rPr>
        <w:t>Ad Hoc</w:t>
      </w:r>
      <w:r>
        <w:rPr>
          <w:lang w:val="en-US"/>
        </w:rPr>
        <w:t xml:space="preserve"> POLICY</w:t>
      </w:r>
      <w:r w:rsidRPr="00090A35">
        <w:rPr>
          <w:lang w:val="en-US"/>
        </w:rPr>
        <w:t xml:space="preserve"> Working Groups</w:t>
      </w:r>
    </w:p>
    <w:p w14:paraId="603CF23A" w14:textId="7C14CB82" w:rsidR="00B14E7F" w:rsidRPr="000F5542" w:rsidRDefault="00B14E7F" w:rsidP="000F5542">
      <w:pPr>
        <w:pStyle w:val="BodyBullets"/>
        <w:jc w:val="both"/>
        <w:rPr>
          <w:bdr w:val="none" w:sz="0" w:space="0" w:color="auto" w:frame="1"/>
          <w:lang w:eastAsia="en-GB"/>
        </w:rPr>
      </w:pPr>
      <w:r w:rsidRPr="000F5542">
        <w:rPr>
          <w:b/>
          <w:bCs/>
          <w:lang w:val="en-US"/>
        </w:rPr>
        <w:t>Branch and Subsidiary Supervision:</w:t>
      </w:r>
      <w:r w:rsidRPr="000F5542">
        <w:rPr>
          <w:lang w:val="en-US"/>
        </w:rPr>
        <w:t xml:space="preserve"> </w:t>
      </w:r>
      <w:r w:rsidR="000F5542" w:rsidRPr="000F5542">
        <w:rPr>
          <w:bdr w:val="none" w:sz="0" w:space="0" w:color="auto" w:frame="1"/>
          <w:lang w:eastAsia="en-GB"/>
        </w:rPr>
        <w:t>Following the collapse of Silicon Valley Bank UK, the PRA informed AFB that it was considering a review of its approach to branch and subsidiary supervision (including </w:t>
      </w:r>
      <w:hyperlink r:id="rId22" w:history="1">
        <w:r w:rsidR="000F5542" w:rsidRPr="000F5542">
          <w:rPr>
            <w:rStyle w:val="Hyperlink"/>
            <w:bdr w:val="none" w:sz="0" w:space="0" w:color="auto" w:frame="1"/>
            <w:lang w:eastAsia="en-GB"/>
          </w:rPr>
          <w:t>Supervisory Statement 5/21</w:t>
        </w:r>
      </w:hyperlink>
      <w:r w:rsidR="000F5542" w:rsidRPr="000F5542">
        <w:rPr>
          <w:bdr w:val="none" w:sz="0" w:space="0" w:color="auto" w:frame="1"/>
          <w:lang w:eastAsia="en-GB"/>
        </w:rPr>
        <w:t>). AFB therefore created the Branch and Subsidiary Supervision Working Group.</w:t>
      </w:r>
      <w:r w:rsidR="000F5542">
        <w:rPr>
          <w:bdr w:val="none" w:sz="0" w:space="0" w:color="auto" w:frame="1"/>
          <w:lang w:eastAsia="en-GB"/>
        </w:rPr>
        <w:t xml:space="preserve"> </w:t>
      </w:r>
      <w:r w:rsidR="000F5542" w:rsidRPr="000F5542">
        <w:rPr>
          <w:bdr w:val="none" w:sz="0" w:space="0" w:color="auto" w:frame="1"/>
          <w:lang w:eastAsia="en-GB"/>
        </w:rPr>
        <w:t>This group informed </w:t>
      </w:r>
      <w:hyperlink r:id="rId23" w:history="1">
        <w:r w:rsidR="000F5542" w:rsidRPr="000F5542">
          <w:rPr>
            <w:rStyle w:val="Hyperlink"/>
            <w:bdr w:val="none" w:sz="0" w:space="0" w:color="auto" w:frame="1"/>
            <w:lang w:eastAsia="en-GB"/>
          </w:rPr>
          <w:t>AFB’s response</w:t>
        </w:r>
      </w:hyperlink>
      <w:r w:rsidR="000F5542" w:rsidRPr="000F5542">
        <w:rPr>
          <w:bdr w:val="none" w:sz="0" w:space="0" w:color="auto" w:frame="1"/>
          <w:lang w:eastAsia="en-GB"/>
        </w:rPr>
        <w:t> to PRA </w:t>
      </w:r>
      <w:hyperlink r:id="rId24" w:history="1">
        <w:r w:rsidR="000F5542" w:rsidRPr="000F5542">
          <w:rPr>
            <w:rStyle w:val="Hyperlink"/>
            <w:bdr w:val="none" w:sz="0" w:space="0" w:color="auto" w:frame="1"/>
            <w:lang w:eastAsia="en-GB"/>
          </w:rPr>
          <w:t>Consultation Paper 11/24 – International firms: Updates to SS5/21 and branch reporting</w:t>
        </w:r>
      </w:hyperlink>
      <w:r w:rsidR="000F5542" w:rsidRPr="000F5542">
        <w:rPr>
          <w:bdr w:val="none" w:sz="0" w:space="0" w:color="auto" w:frame="1"/>
          <w:lang w:eastAsia="en-GB"/>
        </w:rPr>
        <w:t>. On 9 June 2025, AFB held a seminar with the PRA at PwC to discuss the regulators’ final </w:t>
      </w:r>
      <w:hyperlink r:id="rId25" w:history="1">
        <w:r w:rsidR="000F5542" w:rsidRPr="000F5542">
          <w:rPr>
            <w:rStyle w:val="Hyperlink"/>
            <w:bdr w:val="none" w:sz="0" w:space="0" w:color="auto" w:frame="1"/>
            <w:lang w:eastAsia="en-GB"/>
          </w:rPr>
          <w:t>PS6/25 ‘International firms: Updates to SS5/21 and branch reporting’</w:t>
        </w:r>
      </w:hyperlink>
      <w:r w:rsidR="000F5542" w:rsidRPr="000F5542">
        <w:rPr>
          <w:bdr w:val="none" w:sz="0" w:space="0" w:color="auto" w:frame="1"/>
          <w:lang w:eastAsia="en-GB"/>
        </w:rPr>
        <w:t>.</w:t>
      </w:r>
    </w:p>
    <w:p w14:paraId="269A2A76" w14:textId="17183CFD" w:rsidR="00CF623E" w:rsidRPr="002858EF" w:rsidRDefault="00CF623E" w:rsidP="000F5542">
      <w:pPr>
        <w:pStyle w:val="BodyBullets"/>
        <w:jc w:val="both"/>
        <w:rPr>
          <w:bdr w:val="none" w:sz="0" w:space="0" w:color="auto" w:frame="1"/>
          <w:lang w:eastAsia="en-GB"/>
        </w:rPr>
      </w:pPr>
      <w:r>
        <w:rPr>
          <w:b/>
          <w:bCs/>
          <w:lang w:val="en-US"/>
        </w:rPr>
        <w:t>Critical Third Parties:</w:t>
      </w:r>
      <w:r>
        <w:rPr>
          <w:bdr w:val="none" w:sz="0" w:space="0" w:color="auto" w:frame="1"/>
          <w:lang w:eastAsia="en-GB"/>
        </w:rPr>
        <w:t xml:space="preserve"> </w:t>
      </w:r>
      <w:r w:rsidRPr="00CF623E">
        <w:rPr>
          <w:bdr w:val="none" w:sz="0" w:space="0" w:color="auto" w:frame="1"/>
          <w:lang w:eastAsia="en-GB"/>
        </w:rPr>
        <w:t>This Working Group was formed following the FCA/PRA </w:t>
      </w:r>
      <w:hyperlink r:id="rId26" w:history="1">
        <w:r w:rsidRPr="00CF623E">
          <w:rPr>
            <w:rStyle w:val="Hyperlink"/>
            <w:bdr w:val="none" w:sz="0" w:space="0" w:color="auto" w:frame="1"/>
            <w:lang w:eastAsia="en-GB"/>
          </w:rPr>
          <w:t>DP3/22 – Operational resilience: Critical third parties to the UK financial sector</w:t>
        </w:r>
      </w:hyperlink>
      <w:r w:rsidRPr="00CF623E">
        <w:rPr>
          <w:bdr w:val="none" w:sz="0" w:space="0" w:color="auto" w:frame="1"/>
          <w:lang w:eastAsia="en-GB"/>
        </w:rPr>
        <w:t>, as well as </w:t>
      </w:r>
      <w:hyperlink r:id="rId27" w:history="1">
        <w:r w:rsidRPr="00CF623E">
          <w:rPr>
            <w:rStyle w:val="Hyperlink"/>
            <w:bdr w:val="none" w:sz="0" w:space="0" w:color="auto" w:frame="1"/>
            <w:lang w:eastAsia="en-GB"/>
          </w:rPr>
          <w:t>HMT’s June Policy Statement on critical third parties</w:t>
        </w:r>
      </w:hyperlink>
      <w:r>
        <w:rPr>
          <w:bdr w:val="none" w:sz="0" w:space="0" w:color="auto" w:frame="1"/>
          <w:lang w:eastAsia="en-GB"/>
        </w:rPr>
        <w:t xml:space="preserve">. </w:t>
      </w:r>
      <w:r w:rsidRPr="00CF623E">
        <w:rPr>
          <w:bdr w:val="none" w:sz="0" w:space="0" w:color="auto" w:frame="1"/>
          <w:lang w:eastAsia="en-GB"/>
        </w:rPr>
        <w:t>On July 26</w:t>
      </w:r>
      <w:proofErr w:type="gramStart"/>
      <w:r w:rsidRPr="00CF623E">
        <w:rPr>
          <w:bdr w:val="none" w:sz="0" w:space="0" w:color="auto" w:frame="1"/>
          <w:lang w:eastAsia="en-GB"/>
        </w:rPr>
        <w:t xml:space="preserve"> 2022</w:t>
      </w:r>
      <w:proofErr w:type="gramEnd"/>
      <w:r w:rsidRPr="00CF623E">
        <w:rPr>
          <w:bdr w:val="none" w:sz="0" w:space="0" w:color="auto" w:frame="1"/>
          <w:lang w:eastAsia="en-GB"/>
        </w:rPr>
        <w:t xml:space="preserve"> the Working Group met with the FCA, PRA and HM Treasury at a roundtable to discuss these items. Members can read a summary of the meeting </w:t>
      </w:r>
      <w:hyperlink r:id="rId28" w:history="1">
        <w:r w:rsidRPr="00CF623E">
          <w:rPr>
            <w:rStyle w:val="Hyperlink"/>
            <w:bdr w:val="none" w:sz="0" w:space="0" w:color="auto" w:frame="1"/>
            <w:lang w:eastAsia="en-GB"/>
          </w:rPr>
          <w:t>here</w:t>
        </w:r>
      </w:hyperlink>
      <w:r w:rsidRPr="00CF623E">
        <w:rPr>
          <w:bdr w:val="none" w:sz="0" w:space="0" w:color="auto" w:frame="1"/>
          <w:lang w:eastAsia="en-GB"/>
        </w:rPr>
        <w:t>.</w:t>
      </w:r>
      <w:r>
        <w:rPr>
          <w:bdr w:val="none" w:sz="0" w:space="0" w:color="auto" w:frame="1"/>
          <w:lang w:eastAsia="en-GB"/>
        </w:rPr>
        <w:t xml:space="preserve"> </w:t>
      </w:r>
      <w:r w:rsidRPr="00CF623E">
        <w:rPr>
          <w:bdr w:val="none" w:sz="0" w:space="0" w:color="auto" w:frame="1"/>
          <w:lang w:eastAsia="en-GB"/>
        </w:rPr>
        <w:t>The WG informed </w:t>
      </w:r>
      <w:hyperlink r:id="rId29" w:history="1">
        <w:r w:rsidRPr="00CF623E">
          <w:rPr>
            <w:rStyle w:val="Hyperlink"/>
            <w:bdr w:val="none" w:sz="0" w:space="0" w:color="auto" w:frame="1"/>
            <w:lang w:eastAsia="en-GB"/>
          </w:rPr>
          <w:t>AFB’s response</w:t>
        </w:r>
      </w:hyperlink>
      <w:r w:rsidRPr="00CF623E">
        <w:rPr>
          <w:bdr w:val="none" w:sz="0" w:space="0" w:color="auto" w:frame="1"/>
          <w:lang w:eastAsia="en-GB"/>
        </w:rPr>
        <w:t> to PRA/FCA </w:t>
      </w:r>
      <w:hyperlink r:id="rId30" w:anchor="!/LearnMore" w:history="1">
        <w:r w:rsidRPr="00CF623E">
          <w:rPr>
            <w:rStyle w:val="Hyperlink"/>
            <w:bdr w:val="none" w:sz="0" w:space="0" w:color="auto" w:frame="1"/>
            <w:lang w:eastAsia="en-GB"/>
          </w:rPr>
          <w:t>CP26/23 – Operational resilience: Critical third parties to the UK financial sector</w:t>
        </w:r>
      </w:hyperlink>
      <w:r w:rsidRPr="00CF623E">
        <w:rPr>
          <w:bdr w:val="none" w:sz="0" w:space="0" w:color="auto" w:frame="1"/>
          <w:lang w:eastAsia="en-GB"/>
        </w:rPr>
        <w:t>, which was submitted in March 2024, and </w:t>
      </w:r>
      <w:hyperlink r:id="rId31" w:history="1">
        <w:r w:rsidRPr="00CF623E">
          <w:rPr>
            <w:rStyle w:val="Hyperlink"/>
            <w:bdr w:val="none" w:sz="0" w:space="0" w:color="auto" w:frame="1"/>
            <w:lang w:eastAsia="en-GB"/>
          </w:rPr>
          <w:t>AFB’s response</w:t>
        </w:r>
      </w:hyperlink>
      <w:r w:rsidRPr="00CF623E">
        <w:rPr>
          <w:bdr w:val="none" w:sz="0" w:space="0" w:color="auto" w:frame="1"/>
          <w:lang w:eastAsia="en-GB"/>
        </w:rPr>
        <w:t> to </w:t>
      </w:r>
      <w:hyperlink r:id="rId32" w:history="1">
        <w:r w:rsidRPr="00CF623E">
          <w:rPr>
            <w:rStyle w:val="Hyperlink"/>
            <w:bdr w:val="none" w:sz="0" w:space="0" w:color="auto" w:frame="1"/>
            <w:lang w:eastAsia="en-GB"/>
          </w:rPr>
          <w:t>FCA CP24/28</w:t>
        </w:r>
      </w:hyperlink>
      <w:r w:rsidRPr="00CF623E">
        <w:rPr>
          <w:bdr w:val="none" w:sz="0" w:space="0" w:color="auto" w:frame="1"/>
          <w:lang w:eastAsia="en-GB"/>
        </w:rPr>
        <w:t> and </w:t>
      </w:r>
      <w:hyperlink r:id="rId33" w:history="1">
        <w:r w:rsidRPr="00CF623E">
          <w:rPr>
            <w:rStyle w:val="Hyperlink"/>
            <w:bdr w:val="none" w:sz="0" w:space="0" w:color="auto" w:frame="1"/>
            <w:lang w:eastAsia="en-GB"/>
          </w:rPr>
          <w:t>PRA CP17/24</w:t>
        </w:r>
      </w:hyperlink>
      <w:r w:rsidRPr="00CF623E">
        <w:rPr>
          <w:bdr w:val="none" w:sz="0" w:space="0" w:color="auto" w:frame="1"/>
          <w:lang w:eastAsia="en-GB"/>
        </w:rPr>
        <w:t> – Operational Incident and Outsourcing and Third Party Reporting, in collaboration with the AFB Operational Resilience/Outsourcing WG, in March 2025.</w:t>
      </w:r>
      <w:r>
        <w:rPr>
          <w:bdr w:val="none" w:sz="0" w:space="0" w:color="auto" w:frame="1"/>
          <w:lang w:eastAsia="en-GB"/>
        </w:rPr>
        <w:t xml:space="preserve"> </w:t>
      </w:r>
      <w:r w:rsidRPr="00CF623E">
        <w:rPr>
          <w:bdr w:val="none" w:sz="0" w:space="0" w:color="auto" w:frame="1"/>
          <w:lang w:eastAsia="en-GB"/>
        </w:rPr>
        <w:t>AFB continue</w:t>
      </w:r>
      <w:r w:rsidR="00546F35">
        <w:rPr>
          <w:bdr w:val="none" w:sz="0" w:space="0" w:color="auto" w:frame="1"/>
          <w:lang w:eastAsia="en-GB"/>
        </w:rPr>
        <w:t>s</w:t>
      </w:r>
      <w:r w:rsidRPr="00CF623E">
        <w:rPr>
          <w:bdr w:val="none" w:sz="0" w:space="0" w:color="auto" w:frame="1"/>
          <w:lang w:eastAsia="en-GB"/>
        </w:rPr>
        <w:t xml:space="preserve"> to monitor developments on this topic following the publication of </w:t>
      </w:r>
      <w:hyperlink r:id="rId34" w:history="1">
        <w:r w:rsidRPr="00CF623E">
          <w:rPr>
            <w:rStyle w:val="Hyperlink"/>
            <w:bdr w:val="none" w:sz="0" w:space="0" w:color="auto" w:frame="1"/>
            <w:lang w:eastAsia="en-GB"/>
          </w:rPr>
          <w:t>PS 16/24 – Operational Resilience: Critical Third Parties to the UK Financial Sector</w:t>
        </w:r>
      </w:hyperlink>
      <w:r w:rsidRPr="00CF623E">
        <w:rPr>
          <w:bdr w:val="none" w:sz="0" w:space="0" w:color="auto" w:frame="1"/>
          <w:lang w:eastAsia="en-GB"/>
        </w:rPr>
        <w:t> and </w:t>
      </w:r>
      <w:hyperlink r:id="rId35" w:history="1">
        <w:r w:rsidRPr="00CF623E">
          <w:rPr>
            <w:rStyle w:val="Hyperlink"/>
            <w:bdr w:val="none" w:sz="0" w:space="0" w:color="auto" w:frame="1"/>
            <w:lang w:eastAsia="en-GB"/>
          </w:rPr>
          <w:t>joint Supervisory Statement 6/24</w:t>
        </w:r>
      </w:hyperlink>
      <w:r w:rsidRPr="00CF623E">
        <w:rPr>
          <w:bdr w:val="none" w:sz="0" w:space="0" w:color="auto" w:frame="1"/>
          <w:lang w:eastAsia="en-GB"/>
        </w:rPr>
        <w:t>.</w:t>
      </w:r>
    </w:p>
    <w:p w14:paraId="6F5D040A" w14:textId="03FB2461" w:rsidR="00B14E7F" w:rsidRPr="000F5542" w:rsidRDefault="00FB402D" w:rsidP="000F5542">
      <w:pPr>
        <w:pStyle w:val="BodyBullets"/>
        <w:jc w:val="both"/>
      </w:pPr>
      <w:r>
        <w:rPr>
          <w:b/>
          <w:bCs/>
          <w:lang w:val="en-US"/>
        </w:rPr>
        <w:t>Culture &amp; Conduct</w:t>
      </w:r>
      <w:r w:rsidR="00B14E7F" w:rsidRPr="000F5542">
        <w:rPr>
          <w:b/>
          <w:bCs/>
          <w:lang w:val="en-US"/>
        </w:rPr>
        <w:t>:</w:t>
      </w:r>
      <w:r w:rsidR="00B14E7F" w:rsidRPr="000F5542">
        <w:rPr>
          <w:lang w:val="en-US"/>
        </w:rPr>
        <w:t xml:space="preserve"> </w:t>
      </w:r>
      <w:r w:rsidR="000F5542" w:rsidRPr="000F5542">
        <w:t>This Working Group discusses the FCA and PRA proposals regarding D&amp;I in financial services (FCA </w:t>
      </w:r>
      <w:hyperlink r:id="rId36" w:history="1">
        <w:r w:rsidR="000F5542" w:rsidRPr="000F5542">
          <w:rPr>
            <w:rStyle w:val="Hyperlink"/>
          </w:rPr>
          <w:t>CP23/20</w:t>
        </w:r>
      </w:hyperlink>
      <w:r w:rsidR="000F5542" w:rsidRPr="000F5542">
        <w:t> and PRA </w:t>
      </w:r>
      <w:hyperlink r:id="rId37" w:history="1">
        <w:r w:rsidR="000F5542" w:rsidRPr="000F5542">
          <w:rPr>
            <w:rStyle w:val="Hyperlink"/>
          </w:rPr>
          <w:t>CP18/23</w:t>
        </w:r>
      </w:hyperlink>
      <w:r w:rsidR="000F5542" w:rsidRPr="000F5542">
        <w:t>). Members contributed to AFB’s responses to the consultation papers </w:t>
      </w:r>
      <w:hyperlink r:id="rId38" w:history="1">
        <w:r w:rsidR="000F5542" w:rsidRPr="000F5542">
          <w:rPr>
            <w:rStyle w:val="Hyperlink"/>
          </w:rPr>
          <w:t>here</w:t>
        </w:r>
      </w:hyperlink>
      <w:r w:rsidR="000F5542" w:rsidRPr="000F5542">
        <w:t> and </w:t>
      </w:r>
      <w:hyperlink r:id="rId39" w:history="1">
        <w:r w:rsidR="000F5542" w:rsidRPr="000F5542">
          <w:rPr>
            <w:rStyle w:val="Hyperlink"/>
          </w:rPr>
          <w:t>here</w:t>
        </w:r>
      </w:hyperlink>
      <w:r w:rsidR="000F5542" w:rsidRPr="000F5542">
        <w:t>.</w:t>
      </w:r>
      <w:r w:rsidR="000F5542">
        <w:t xml:space="preserve"> </w:t>
      </w:r>
      <w:r w:rsidR="000F5542" w:rsidRPr="000F5542">
        <w:t>This group</w:t>
      </w:r>
      <w:r w:rsidR="008F30D9">
        <w:t xml:space="preserve"> has</w:t>
      </w:r>
      <w:r w:rsidR="000F5542" w:rsidRPr="000F5542">
        <w:t xml:space="preserve"> also discusse</w:t>
      </w:r>
      <w:r w:rsidR="008F30D9">
        <w:t>d</w:t>
      </w:r>
      <w:r w:rsidR="000F5542" w:rsidRPr="000F5542">
        <w:t xml:space="preserve"> the regulators’ proposals regarding non-financial misconduct.</w:t>
      </w:r>
      <w:r w:rsidR="000F5542">
        <w:t xml:space="preserve"> </w:t>
      </w:r>
      <w:r w:rsidR="000F5542" w:rsidRPr="000F5542">
        <w:t>In June 2025 the FCA published a </w:t>
      </w:r>
      <w:hyperlink r:id="rId40" w:history="1">
        <w:r w:rsidR="000F5542" w:rsidRPr="000F5542">
          <w:rPr>
            <w:rStyle w:val="Hyperlink"/>
          </w:rPr>
          <w:t>Policy Statement and CP25/18: Tackling non-financial misconduct in financial services</w:t>
        </w:r>
      </w:hyperlink>
      <w:r w:rsidR="000F5542" w:rsidRPr="000F5542">
        <w:t>.</w:t>
      </w:r>
      <w:r w:rsidR="0010027A">
        <w:t xml:space="preserve"> </w:t>
      </w:r>
      <w:r w:rsidR="00FF7438" w:rsidRPr="00FF7438">
        <w:t xml:space="preserve">The working group has helped inform AFB’s response to </w:t>
      </w:r>
      <w:r w:rsidR="00405A77">
        <w:t>CP25/18</w:t>
      </w:r>
      <w:r w:rsidR="00FF7438" w:rsidRPr="00FF7438">
        <w:t>, which will be submitted by the deadline of 10 September 2025.</w:t>
      </w:r>
    </w:p>
    <w:p w14:paraId="64CFF7FA" w14:textId="2835658B" w:rsidR="000C781F" w:rsidRPr="00090A35" w:rsidRDefault="000C781F" w:rsidP="000F5542">
      <w:pPr>
        <w:pStyle w:val="BodyBullets"/>
        <w:jc w:val="both"/>
        <w:rPr>
          <w:lang w:val="en-US"/>
        </w:rPr>
      </w:pPr>
      <w:r>
        <w:rPr>
          <w:b/>
          <w:bCs/>
          <w:lang w:val="en-US"/>
        </w:rPr>
        <w:lastRenderedPageBreak/>
        <w:t>Equality (Race and Disability) Bill:</w:t>
      </w:r>
      <w:r>
        <w:rPr>
          <w:lang w:val="en-US"/>
        </w:rPr>
        <w:t xml:space="preserve"> </w:t>
      </w:r>
      <w:r w:rsidR="000F5542" w:rsidRPr="000F5542">
        <w:t>This Working Group was created in April 2025 to inform AFB’s response to the UK Government’s consultation on the </w:t>
      </w:r>
      <w:hyperlink r:id="rId41" w:anchor="ministerial-foreword" w:history="1">
        <w:r w:rsidR="000F5542" w:rsidRPr="000F5542">
          <w:rPr>
            <w:rStyle w:val="Hyperlink"/>
          </w:rPr>
          <w:t>Equality (Race and Disability) Bill</w:t>
        </w:r>
      </w:hyperlink>
      <w:r w:rsidR="000F5542" w:rsidRPr="000F5542">
        <w:t>, which close</w:t>
      </w:r>
      <w:r w:rsidR="000F5542">
        <w:t>d</w:t>
      </w:r>
      <w:r w:rsidR="000F5542" w:rsidRPr="000F5542">
        <w:t xml:space="preserve"> for responses on 10 June. The consultation s</w:t>
      </w:r>
      <w:r w:rsidR="000F5542">
        <w:t>ought</w:t>
      </w:r>
      <w:r w:rsidR="000F5542" w:rsidRPr="000F5542">
        <w:t xml:space="preserve"> views on how mandatory ethnicity and disability pay gap reporting requirements for large employers (i.e., those with 250 or more employees) could be implemented.</w:t>
      </w:r>
      <w:r w:rsidR="000F5542">
        <w:t xml:space="preserve"> </w:t>
      </w:r>
      <w:r w:rsidR="000F5542" w:rsidRPr="000F5542">
        <w:t>AFB submitted a </w:t>
      </w:r>
      <w:hyperlink r:id="rId42" w:history="1">
        <w:r w:rsidR="000F5542" w:rsidRPr="000F5542">
          <w:rPr>
            <w:rStyle w:val="Hyperlink"/>
          </w:rPr>
          <w:t>response</w:t>
        </w:r>
      </w:hyperlink>
      <w:r w:rsidR="000F5542" w:rsidRPr="000F5542">
        <w:t> to the consultation in June 2025.</w:t>
      </w:r>
    </w:p>
    <w:p w14:paraId="110C3627" w14:textId="5232856A" w:rsidR="000F5542" w:rsidRPr="000F5542" w:rsidRDefault="00B14E7F" w:rsidP="000F5542">
      <w:pPr>
        <w:pStyle w:val="BodyBullets"/>
        <w:jc w:val="both"/>
        <w:rPr>
          <w:lang w:val="en-US"/>
        </w:rPr>
      </w:pPr>
      <w:r w:rsidRPr="000F5542">
        <w:rPr>
          <w:b/>
          <w:bCs/>
          <w:lang w:val="en-US"/>
        </w:rPr>
        <w:t xml:space="preserve">EU Capital Requirements Directive VI: </w:t>
      </w:r>
      <w:r w:rsidR="000F5542">
        <w:t>This Working Group fed into AFB’s feedback to the European Commission on CRD VI in February 2022 (</w:t>
      </w:r>
      <w:hyperlink r:id="rId43" w:history="1">
        <w:r w:rsidR="000F5542" w:rsidRPr="000F5542">
          <w:rPr>
            <w:rStyle w:val="Hyperlink"/>
            <w:rFonts w:ascii="Arial" w:hAnsi="Arial" w:cs="Arial"/>
            <w:color w:val="004BFF"/>
          </w:rPr>
          <w:t>here</w:t>
        </w:r>
      </w:hyperlink>
      <w:r w:rsidR="000F5542">
        <w:t>). The final CRD VI was published in the Official Journal on 19 June 2024 (</w:t>
      </w:r>
      <w:hyperlink r:id="rId44" w:anchor="d1e1816-1-1" w:history="1">
        <w:r w:rsidR="000F5542" w:rsidRPr="000F5542">
          <w:rPr>
            <w:rStyle w:val="Hyperlink"/>
            <w:rFonts w:ascii="Arial" w:hAnsi="Arial" w:cs="Arial"/>
            <w:color w:val="004BFF"/>
          </w:rPr>
          <w:t>here</w:t>
        </w:r>
      </w:hyperlink>
      <w:r w:rsidR="000F5542">
        <w:t>). Members of the Working Group meet regularly to discuss the implementation of CRD VI with peers and increase their understanding of the requirements. The last meeting of the WG was held on 15 July 2025.</w:t>
      </w:r>
    </w:p>
    <w:p w14:paraId="3B206166" w14:textId="64B485D7" w:rsidR="000F5542" w:rsidRPr="000F5542" w:rsidRDefault="000F5542" w:rsidP="000F5542">
      <w:pPr>
        <w:pStyle w:val="BodyBullets"/>
        <w:jc w:val="both"/>
        <w:rPr>
          <w:lang w:val="en-US"/>
        </w:rPr>
      </w:pPr>
      <w:r w:rsidRPr="000F5542">
        <w:rPr>
          <w:b/>
          <w:bCs/>
        </w:rPr>
        <w:t>FSCS Deposit Protection WG:</w:t>
      </w:r>
      <w:r>
        <w:t xml:space="preserve"> The FSCS Deposit Protection Working Group was formed in May 2025 to guide the AFB’s response to PRA </w:t>
      </w:r>
      <w:hyperlink r:id="rId45" w:history="1">
        <w:r w:rsidRPr="000F5542">
          <w:rPr>
            <w:rStyle w:val="Hyperlink"/>
            <w:rFonts w:ascii="Arial" w:hAnsi="Arial" w:cs="Arial"/>
            <w:color w:val="004BFF"/>
          </w:rPr>
          <w:t>CP4/25 – Depositor protection</w:t>
        </w:r>
      </w:hyperlink>
      <w:r>
        <w:t>. AFB’s response focused on the PRA’s proposals in connection with the limit of protection available from the Financial Services Compensation Scheme, which closed for responses on 30 June 2025. AFB submitted a </w:t>
      </w:r>
      <w:hyperlink r:id="rId46" w:history="1">
        <w:r w:rsidRPr="000F5542">
          <w:rPr>
            <w:rStyle w:val="Hyperlink"/>
            <w:rFonts w:ascii="Arial" w:hAnsi="Arial" w:cs="Arial"/>
            <w:color w:val="004BFF"/>
          </w:rPr>
          <w:t>response</w:t>
        </w:r>
      </w:hyperlink>
      <w:r>
        <w:t> to the consultation in June 2025.</w:t>
      </w:r>
    </w:p>
    <w:p w14:paraId="39B86F9A" w14:textId="0FA0D6B8" w:rsidR="0070657F" w:rsidRPr="007F06BB" w:rsidRDefault="0070657F" w:rsidP="000F5542">
      <w:pPr>
        <w:pStyle w:val="BodyBullets"/>
        <w:jc w:val="both"/>
        <w:rPr>
          <w:u w:val="single"/>
          <w:lang w:val="en-US"/>
        </w:rPr>
      </w:pPr>
      <w:r w:rsidRPr="00090A35">
        <w:rPr>
          <w:b/>
          <w:bCs/>
          <w:lang w:val="en-US"/>
        </w:rPr>
        <w:t>Financial Services Skills:</w:t>
      </w:r>
      <w:r w:rsidRPr="00090A35">
        <w:rPr>
          <w:lang w:val="en-US"/>
        </w:rPr>
        <w:t xml:space="preserve"> </w:t>
      </w:r>
      <w:r w:rsidR="00264AEB" w:rsidRPr="00264AEB">
        <w:t>In 2020 the AFB became a partner member of the </w:t>
      </w:r>
      <w:hyperlink r:id="rId47" w:history="1">
        <w:r w:rsidR="00264AEB" w:rsidRPr="00264AEB">
          <w:rPr>
            <w:rStyle w:val="Hyperlink"/>
          </w:rPr>
          <w:t>Financial Services Skills Commission</w:t>
        </w:r>
      </w:hyperlink>
      <w:r w:rsidR="00264AEB" w:rsidRPr="00264AEB">
        <w:t> (FSSC), which aims to ensure that the financial services sector has the talent and skills it needs for the future. This Working Group also receives biannual updates on the work of FSSC.</w:t>
      </w:r>
    </w:p>
    <w:p w14:paraId="2F0148F3" w14:textId="5ACC8D13" w:rsidR="007F06BB" w:rsidRPr="000F5542" w:rsidRDefault="007F06BB" w:rsidP="00565684">
      <w:pPr>
        <w:pStyle w:val="BodyBullets"/>
        <w:jc w:val="both"/>
        <w:rPr>
          <w:u w:val="single"/>
          <w:lang w:val="en-US"/>
        </w:rPr>
      </w:pPr>
      <w:r w:rsidRPr="000F5542">
        <w:rPr>
          <w:b/>
          <w:bCs/>
          <w:lang w:val="en-US"/>
        </w:rPr>
        <w:t>Foreign Influence Registration Scheme:</w:t>
      </w:r>
      <w:r w:rsidRPr="000F5542">
        <w:rPr>
          <w:lang w:val="en-US"/>
        </w:rPr>
        <w:t xml:space="preserve"> </w:t>
      </w:r>
      <w:r w:rsidR="000F5542" w:rsidRPr="000F5542">
        <w:t xml:space="preserve">The Foreign Influence Registration Scheme (FIRS) </w:t>
      </w:r>
      <w:r w:rsidR="00EA24DB">
        <w:t>WG</w:t>
      </w:r>
      <w:r w:rsidR="000F5542" w:rsidRPr="000F5542">
        <w:t xml:space="preserve"> was established to guide the </w:t>
      </w:r>
      <w:r w:rsidR="000F5542" w:rsidRPr="00EA24DB">
        <w:t>AFB’s response</w:t>
      </w:r>
      <w:r w:rsidR="000F5542" w:rsidRPr="000F5542">
        <w:t> to the Home Office request for feedback on the draft FIRS guidance. The AFB submitted its </w:t>
      </w:r>
      <w:hyperlink r:id="rId48" w:history="1">
        <w:r w:rsidR="000F5542" w:rsidRPr="000F5542">
          <w:rPr>
            <w:rStyle w:val="Hyperlink"/>
          </w:rPr>
          <w:t>response</w:t>
        </w:r>
      </w:hyperlink>
      <w:r w:rsidR="000F5542" w:rsidRPr="000F5542">
        <w:t> on the 20 December, 2024.The scheme went live on 1 July 2025. The AFB continues to monitor the Home Office’s approach to FIRS, recognising its significant importance to our stakeholders.</w:t>
      </w:r>
      <w:r>
        <w:t xml:space="preserve"> </w:t>
      </w:r>
    </w:p>
    <w:p w14:paraId="5A2F9881" w14:textId="090CF532" w:rsidR="007F06BB" w:rsidRPr="00EA24DB" w:rsidRDefault="007F06BB" w:rsidP="000F5542">
      <w:pPr>
        <w:pStyle w:val="BodyBullets"/>
        <w:jc w:val="both"/>
        <w:rPr>
          <w:u w:val="single"/>
          <w:lang w:val="en-US"/>
        </w:rPr>
      </w:pPr>
      <w:r>
        <w:rPr>
          <w:b/>
          <w:bCs/>
          <w:lang w:val="en-US"/>
        </w:rPr>
        <w:t>Operational Resilience/Outsourcing:</w:t>
      </w:r>
      <w:r>
        <w:rPr>
          <w:lang w:val="en-US"/>
        </w:rPr>
        <w:t xml:space="preserve"> </w:t>
      </w:r>
      <w:r w:rsidRPr="007F06BB">
        <w:t>The Working Group was initially formed in 2020 in response to PRA and FCA consultation papers on operational resilience and outsourcing.</w:t>
      </w:r>
      <w:r>
        <w:t xml:space="preserve"> </w:t>
      </w:r>
      <w:r w:rsidRPr="007F06BB">
        <w:t>On 5 February 2025 the PRA held a roundtable to discuss with the WG its supervisory expectations for category 2-4 subsidiaries on operational resilience ahead of the 31 March 2025 deadline for the full implementation of all aspects of the PRA’s operational resilience policy (</w:t>
      </w:r>
      <w:hyperlink r:id="rId49" w:history="1">
        <w:r w:rsidRPr="007F06BB">
          <w:rPr>
            <w:rStyle w:val="Hyperlink"/>
          </w:rPr>
          <w:t>SS1/21</w:t>
        </w:r>
      </w:hyperlink>
      <w:r w:rsidRPr="007F06BB">
        <w:t>). In March 2025 the WG informed  </w:t>
      </w:r>
      <w:hyperlink r:id="rId50" w:history="1">
        <w:r w:rsidRPr="007F06BB">
          <w:rPr>
            <w:rStyle w:val="Hyperlink"/>
          </w:rPr>
          <w:t>AFB’s response</w:t>
        </w:r>
      </w:hyperlink>
      <w:r w:rsidRPr="007F06BB">
        <w:t> to </w:t>
      </w:r>
      <w:hyperlink r:id="rId51" w:history="1">
        <w:r w:rsidRPr="007F06BB">
          <w:rPr>
            <w:rStyle w:val="Hyperlink"/>
          </w:rPr>
          <w:t>FCA CP24/28</w:t>
        </w:r>
      </w:hyperlink>
      <w:r w:rsidRPr="007F06BB">
        <w:t> and </w:t>
      </w:r>
      <w:hyperlink r:id="rId52" w:history="1">
        <w:r w:rsidRPr="007F06BB">
          <w:rPr>
            <w:rStyle w:val="Hyperlink"/>
          </w:rPr>
          <w:t>PRA CP17/24</w:t>
        </w:r>
      </w:hyperlink>
      <w:r w:rsidRPr="007F06BB">
        <w:t> – Operational Incident and Outsourcing and Third Party Reporting, in collaboration with the AFB Critical Third Parties WG.</w:t>
      </w:r>
    </w:p>
    <w:p w14:paraId="42560EF8" w14:textId="393400F7" w:rsidR="00EA24DB" w:rsidRPr="00EA24DB" w:rsidRDefault="00EA24DB" w:rsidP="00DD04C7">
      <w:pPr>
        <w:pStyle w:val="BodyBullets"/>
        <w:jc w:val="both"/>
      </w:pPr>
      <w:r w:rsidRPr="00EA24DB">
        <w:rPr>
          <w:b/>
          <w:bCs/>
          <w:lang w:val="en-US"/>
        </w:rPr>
        <w:t>PRA Future Banking Data:</w:t>
      </w:r>
      <w:r w:rsidRPr="00EA24DB">
        <w:rPr>
          <w:u w:val="single"/>
          <w:lang w:val="en-US"/>
        </w:rPr>
        <w:t xml:space="preserve"> </w:t>
      </w:r>
      <w:r w:rsidRPr="00EA24DB">
        <w:t>This group was originally formed in March 2021 to discuss the Bank of England’s data transformation plan, aimed at improving alignment of data collections with the needs of day-to-day supervision, improving integration and streamlining of data collections, and ensuring the PRA has the necessary data to carry out its future policymaking responsibilities.</w:t>
      </w:r>
      <w:r>
        <w:t xml:space="preserve"> </w:t>
      </w:r>
      <w:r w:rsidRPr="00EA24DB">
        <w:t>In line with its strategy to run an efficient and modern regulator, in spring 2025 the PRA relaunched this initiative as Future Banking Data project. On 13 June 2025 AFB, in partnership with Deloitte, held a roundtable with the PRA to discuss how to streamline data collection and reduce the cost of regulatory reporting.</w:t>
      </w:r>
    </w:p>
    <w:p w14:paraId="23B49960" w14:textId="4FD2BA48" w:rsidR="007F06BB" w:rsidRPr="007F06BB" w:rsidRDefault="007F06BB" w:rsidP="000F5542">
      <w:pPr>
        <w:pStyle w:val="BodyBullets"/>
        <w:jc w:val="both"/>
        <w:rPr>
          <w:u w:val="single"/>
          <w:lang w:val="en-US"/>
        </w:rPr>
      </w:pPr>
      <w:r>
        <w:rPr>
          <w:b/>
          <w:bCs/>
          <w:lang w:val="en-US"/>
        </w:rPr>
        <w:lastRenderedPageBreak/>
        <w:t>Remuneration Reform:</w:t>
      </w:r>
      <w:r>
        <w:rPr>
          <w:lang w:val="en-US"/>
        </w:rPr>
        <w:t xml:space="preserve"> </w:t>
      </w:r>
      <w:r w:rsidRPr="007F06BB">
        <w:t>This Working Group was formed after the publication of Consultation Paper </w:t>
      </w:r>
      <w:hyperlink r:id="rId53" w:history="1">
        <w:r w:rsidRPr="007F06BB">
          <w:rPr>
            <w:rStyle w:val="Hyperlink"/>
          </w:rPr>
          <w:t>PRA 16/24</w:t>
        </w:r>
      </w:hyperlink>
      <w:r w:rsidRPr="007F06BB">
        <w:t> and </w:t>
      </w:r>
      <w:hyperlink r:id="rId54" w:history="1">
        <w:r w:rsidRPr="007F06BB">
          <w:rPr>
            <w:rStyle w:val="Hyperlink"/>
          </w:rPr>
          <w:t>FCA 24/23</w:t>
        </w:r>
      </w:hyperlink>
      <w:r w:rsidRPr="007F06BB">
        <w:t> in November 2024 to inform </w:t>
      </w:r>
      <w:hyperlink r:id="rId55" w:history="1">
        <w:r w:rsidRPr="007F06BB">
          <w:rPr>
            <w:rStyle w:val="Hyperlink"/>
          </w:rPr>
          <w:t>AFB’s response</w:t>
        </w:r>
      </w:hyperlink>
      <w:r w:rsidRPr="007F06BB">
        <w:t>, which was submitted in March 2025.</w:t>
      </w:r>
    </w:p>
    <w:p w14:paraId="45E85722" w14:textId="10AFC411" w:rsidR="007F06BB" w:rsidRPr="007F06BB" w:rsidRDefault="007F06BB" w:rsidP="000F5542">
      <w:pPr>
        <w:pStyle w:val="BodyBullets"/>
        <w:jc w:val="both"/>
        <w:rPr>
          <w:u w:val="single"/>
          <w:lang w:val="en-US"/>
        </w:rPr>
      </w:pPr>
      <w:r>
        <w:rPr>
          <w:b/>
          <w:bCs/>
          <w:lang w:val="en-US"/>
        </w:rPr>
        <w:t>Review of FCA requirements following the introduction of the Consumer Duty:</w:t>
      </w:r>
      <w:r>
        <w:rPr>
          <w:lang w:val="en-US"/>
        </w:rPr>
        <w:t xml:space="preserve"> </w:t>
      </w:r>
      <w:r w:rsidR="002E065C" w:rsidRPr="002E065C">
        <w:t>One year after the implementation deadline of the New Consumer Duty, the FCA published a </w:t>
      </w:r>
      <w:hyperlink r:id="rId56" w:history="1">
        <w:r w:rsidR="002E065C" w:rsidRPr="002E065C">
          <w:rPr>
            <w:rStyle w:val="Hyperlink"/>
          </w:rPr>
          <w:t>Call for Input</w:t>
        </w:r>
      </w:hyperlink>
      <w:r w:rsidR="002E065C" w:rsidRPr="002E065C">
        <w:t> on the Review of FCA requirements, which considered whether the Regulator could simplify its retail conduct rules and guidance via addressing potential areas of complexity, duplication, confusion, or over-prescription.</w:t>
      </w:r>
      <w:r w:rsidR="002E065C">
        <w:t xml:space="preserve"> </w:t>
      </w:r>
      <w:r w:rsidR="002E065C" w:rsidRPr="002E065C">
        <w:t>The Working Group supported </w:t>
      </w:r>
      <w:hyperlink r:id="rId57" w:history="1">
        <w:r w:rsidR="002E065C" w:rsidRPr="002E065C">
          <w:rPr>
            <w:rStyle w:val="Hyperlink"/>
          </w:rPr>
          <w:t>AFB’s response</w:t>
        </w:r>
      </w:hyperlink>
      <w:r w:rsidR="002E065C" w:rsidRPr="002E065C">
        <w:t xml:space="preserve"> to the </w:t>
      </w:r>
      <w:proofErr w:type="spellStart"/>
      <w:r w:rsidR="002E065C" w:rsidRPr="002E065C">
        <w:t>CfI</w:t>
      </w:r>
      <w:proofErr w:type="spellEnd"/>
      <w:r w:rsidR="002E065C" w:rsidRPr="002E065C">
        <w:t>, which was submitted on 31 October 2024. In March 2025, the FCA published </w:t>
      </w:r>
      <w:hyperlink r:id="rId58" w:history="1">
        <w:r w:rsidR="002E065C" w:rsidRPr="002E065C">
          <w:rPr>
            <w:rStyle w:val="Hyperlink"/>
          </w:rPr>
          <w:t>FS25/2</w:t>
        </w:r>
      </w:hyperlink>
      <w:r w:rsidR="002E065C" w:rsidRPr="002E065C">
        <w:t>, setting out its plans for a review of FCA requirements.</w:t>
      </w:r>
    </w:p>
    <w:p w14:paraId="2D9D6377" w14:textId="107B34F4" w:rsidR="00B14E7F" w:rsidRPr="00993BF5" w:rsidRDefault="0070657F" w:rsidP="00032208">
      <w:pPr>
        <w:pStyle w:val="BodyBullets"/>
        <w:rPr>
          <w:color w:val="00204B"/>
          <w:lang w:val="en-US"/>
        </w:rPr>
      </w:pPr>
      <w:r w:rsidRPr="00032208">
        <w:rPr>
          <w:b/>
          <w:bCs/>
          <w:lang w:val="en-US"/>
        </w:rPr>
        <w:t>Senior Managers &amp; Certification Regime:</w:t>
      </w:r>
      <w:r w:rsidRPr="00032208">
        <w:rPr>
          <w:lang w:val="en-US"/>
        </w:rPr>
        <w:t xml:space="preserve"> </w:t>
      </w:r>
      <w:r w:rsidR="00032208" w:rsidRPr="00032208">
        <w:t>This Working Group was formed to consider the regulators’ (</w:t>
      </w:r>
      <w:hyperlink r:id="rId59" w:history="1">
        <w:r w:rsidR="00032208" w:rsidRPr="00032208">
          <w:rPr>
            <w:rStyle w:val="Hyperlink"/>
          </w:rPr>
          <w:t>FCA/PRA DP1/23</w:t>
        </w:r>
      </w:hyperlink>
      <w:r w:rsidR="00032208" w:rsidRPr="00032208">
        <w:t>) and HM Treasury’s (</w:t>
      </w:r>
      <w:proofErr w:type="spellStart"/>
      <w:r w:rsidR="00032208">
        <w:fldChar w:fldCharType="begin"/>
      </w:r>
      <w:r w:rsidR="00032208">
        <w:instrText>HYPERLINK "https://www.gov.uk/government/calls-for-evidence/senior-managers-certification-regime-a-call-for-evidence"</w:instrText>
      </w:r>
      <w:r w:rsidR="00032208">
        <w:fldChar w:fldCharType="separate"/>
      </w:r>
      <w:r w:rsidR="00032208" w:rsidRPr="00032208">
        <w:rPr>
          <w:rStyle w:val="Hyperlink"/>
        </w:rPr>
        <w:t>CfE</w:t>
      </w:r>
      <w:proofErr w:type="spellEnd"/>
      <w:r w:rsidR="00032208">
        <w:fldChar w:fldCharType="end"/>
      </w:r>
      <w:r w:rsidR="00032208" w:rsidRPr="00032208">
        <w:t xml:space="preserve">) review of the SM&amp;CR. AFB responded to both the HMT </w:t>
      </w:r>
      <w:proofErr w:type="spellStart"/>
      <w:r w:rsidR="00032208" w:rsidRPr="00032208">
        <w:t>CfE</w:t>
      </w:r>
      <w:proofErr w:type="spellEnd"/>
      <w:r w:rsidR="00032208" w:rsidRPr="00032208">
        <w:t xml:space="preserve"> (</w:t>
      </w:r>
      <w:hyperlink r:id="rId60" w:history="1">
        <w:r w:rsidR="00032208" w:rsidRPr="00032208">
          <w:rPr>
            <w:rStyle w:val="Hyperlink"/>
          </w:rPr>
          <w:t>here</w:t>
        </w:r>
      </w:hyperlink>
      <w:r w:rsidR="00032208" w:rsidRPr="00032208">
        <w:t>) and FCA/PRA DP1/23 (</w:t>
      </w:r>
      <w:hyperlink r:id="rId61" w:history="1">
        <w:r w:rsidR="00032208" w:rsidRPr="00032208">
          <w:rPr>
            <w:rStyle w:val="Hyperlink"/>
          </w:rPr>
          <w:t>here</w:t>
        </w:r>
      </w:hyperlink>
      <w:r w:rsidR="00032208" w:rsidRPr="00032208">
        <w:t>).</w:t>
      </w:r>
      <w:r w:rsidR="00032208">
        <w:t xml:space="preserve"> </w:t>
      </w:r>
      <w:r w:rsidR="00032208" w:rsidRPr="00032208">
        <w:t>Individuals from this group received the opportunity to attend a May 2023 roundtable with HMT, the PRA and the FCA, to provide feedback on the SM&amp;CR and suggestions for amendment.</w:t>
      </w:r>
      <w:r w:rsidR="00032208">
        <w:t xml:space="preserve"> </w:t>
      </w:r>
      <w:r w:rsidR="00032208" w:rsidRPr="00032208">
        <w:t>On 15 July, HM Treasury (</w:t>
      </w:r>
      <w:hyperlink r:id="rId62" w:history="1">
        <w:r w:rsidR="00032208" w:rsidRPr="00032208">
          <w:rPr>
            <w:rStyle w:val="Hyperlink"/>
          </w:rPr>
          <w:t>here</w:t>
        </w:r>
      </w:hyperlink>
      <w:r w:rsidR="00032208" w:rsidRPr="00032208">
        <w:t>) as well as the PRA (</w:t>
      </w:r>
      <w:hyperlink r:id="rId63" w:history="1">
        <w:r w:rsidR="00032208" w:rsidRPr="00032208">
          <w:rPr>
            <w:rStyle w:val="Hyperlink"/>
          </w:rPr>
          <w:t>here</w:t>
        </w:r>
      </w:hyperlink>
      <w:r w:rsidR="00032208" w:rsidRPr="00032208">
        <w:t>) and FCA (</w:t>
      </w:r>
      <w:hyperlink r:id="rId64" w:history="1">
        <w:r w:rsidR="00032208" w:rsidRPr="00032208">
          <w:rPr>
            <w:rStyle w:val="Hyperlink"/>
          </w:rPr>
          <w:t>here</w:t>
        </w:r>
      </w:hyperlink>
      <w:r w:rsidR="00032208" w:rsidRPr="00032208">
        <w:t>), each launched consultations proposing legislative and regulatory changes to the SM&amp;CR. The deadline for submitting responses to these consultations is 7 October.</w:t>
      </w:r>
      <w:r w:rsidR="00032208">
        <w:t xml:space="preserve"> </w:t>
      </w:r>
      <w:r w:rsidR="00032208" w:rsidRPr="00032208">
        <w:t>AFB is currently planning to develop a response to these consultations and will engage with members to inform its submission.</w:t>
      </w:r>
    </w:p>
    <w:p w14:paraId="172DE185" w14:textId="2DBFA05D" w:rsidR="00993BF5" w:rsidRPr="00993BF5" w:rsidRDefault="00993BF5" w:rsidP="000F5542">
      <w:pPr>
        <w:pStyle w:val="BodyBullets"/>
        <w:jc w:val="both"/>
        <w:rPr>
          <w:color w:val="00204B"/>
          <w:lang w:val="en-US"/>
        </w:rPr>
      </w:pPr>
      <w:r>
        <w:rPr>
          <w:b/>
          <w:bCs/>
          <w:lang w:val="en-US"/>
        </w:rPr>
        <w:t>Solvent Exit Planning:</w:t>
      </w:r>
      <w:r>
        <w:rPr>
          <w:color w:val="00204B"/>
          <w:lang w:val="en-US"/>
        </w:rPr>
        <w:t xml:space="preserve"> </w:t>
      </w:r>
      <w:r w:rsidRPr="00993BF5">
        <w:rPr>
          <w:color w:val="00204B"/>
        </w:rPr>
        <w:t>This Working Group was formed to feed into discussions on PRA </w:t>
      </w:r>
      <w:hyperlink r:id="rId65" w:history="1">
        <w:r w:rsidRPr="00993BF5">
          <w:rPr>
            <w:rStyle w:val="Hyperlink"/>
          </w:rPr>
          <w:t>Policy Statement 5/24 – ‘Solvent exit planning for non-systemic banks and building societies’</w:t>
        </w:r>
      </w:hyperlink>
      <w:r w:rsidRPr="00993BF5">
        <w:rPr>
          <w:color w:val="00204B"/>
        </w:rPr>
        <w:t> ahead of its 1 October 2025 implementation.</w:t>
      </w:r>
      <w:r>
        <w:rPr>
          <w:color w:val="00204B"/>
        </w:rPr>
        <w:t xml:space="preserve"> </w:t>
      </w:r>
      <w:r w:rsidRPr="00993BF5">
        <w:rPr>
          <w:color w:val="00204B"/>
        </w:rPr>
        <w:t>On 20 November 2024 AFB held a roundtable with the PRA at Deloitte to discuss the PS (PRA slides </w:t>
      </w:r>
      <w:hyperlink r:id="rId66" w:history="1">
        <w:r w:rsidRPr="00993BF5">
          <w:rPr>
            <w:rStyle w:val="Hyperlink"/>
          </w:rPr>
          <w:t>here</w:t>
        </w:r>
      </w:hyperlink>
      <w:r w:rsidRPr="00993BF5">
        <w:rPr>
          <w:color w:val="00204B"/>
        </w:rPr>
        <w:t>)</w:t>
      </w:r>
      <w:r w:rsidR="00EE12E6">
        <w:rPr>
          <w:color w:val="00204B"/>
        </w:rPr>
        <w:t>.</w:t>
      </w:r>
    </w:p>
    <w:p w14:paraId="7B56FC04" w14:textId="6AA77A9B" w:rsidR="00993BF5" w:rsidRPr="00EE12E6" w:rsidRDefault="00993BF5" w:rsidP="000F5542">
      <w:pPr>
        <w:pStyle w:val="BodyBullets"/>
        <w:jc w:val="both"/>
        <w:rPr>
          <w:color w:val="00204B"/>
          <w:lang w:val="en-US"/>
        </w:rPr>
      </w:pPr>
      <w:r>
        <w:rPr>
          <w:b/>
          <w:bCs/>
          <w:lang w:val="en-US"/>
        </w:rPr>
        <w:t>UK-</w:t>
      </w:r>
      <w:r>
        <w:rPr>
          <w:b/>
          <w:bCs/>
          <w:color w:val="00204B"/>
          <w:lang w:val="en-US"/>
        </w:rPr>
        <w:t xml:space="preserve">EU Reset: </w:t>
      </w:r>
      <w:r w:rsidR="00EE12E6" w:rsidRPr="00EE12E6">
        <w:rPr>
          <w:color w:val="00204B"/>
        </w:rPr>
        <w:t>The WG was created to inform </w:t>
      </w:r>
      <w:hyperlink r:id="rId67" w:history="1">
        <w:r w:rsidR="00EE12E6" w:rsidRPr="00EE12E6">
          <w:rPr>
            <w:rStyle w:val="Hyperlink"/>
          </w:rPr>
          <w:t>AFB’s response</w:t>
        </w:r>
      </w:hyperlink>
      <w:r w:rsidR="00EE12E6" w:rsidRPr="00EE12E6">
        <w:rPr>
          <w:color w:val="00204B"/>
        </w:rPr>
        <w:t> to the House of Lords European Affairs Committee </w:t>
      </w:r>
      <w:hyperlink r:id="rId68" w:history="1">
        <w:r w:rsidR="00EE12E6" w:rsidRPr="00EE12E6">
          <w:rPr>
            <w:rStyle w:val="Hyperlink"/>
          </w:rPr>
          <w:t>Call for Evidence</w:t>
        </w:r>
      </w:hyperlink>
      <w:r w:rsidR="00EE12E6" w:rsidRPr="00EE12E6">
        <w:rPr>
          <w:color w:val="00204B"/>
        </w:rPr>
        <w:t> on the UK-EU reset, which was submitted in March 2025.</w:t>
      </w:r>
      <w:r w:rsidR="00EE12E6">
        <w:rPr>
          <w:color w:val="00204B"/>
        </w:rPr>
        <w:t xml:space="preserve"> </w:t>
      </w:r>
      <w:r w:rsidR="00EE12E6" w:rsidRPr="00EE12E6">
        <w:rPr>
          <w:color w:val="00204B"/>
        </w:rPr>
        <w:t>AFB will monitor developments on the topic as the UK looks to reset relations with the EU</w:t>
      </w:r>
      <w:r w:rsidR="00FF7438">
        <w:rPr>
          <w:color w:val="00204B"/>
        </w:rPr>
        <w:t>.</w:t>
      </w:r>
    </w:p>
    <w:p w14:paraId="09FDA493" w14:textId="1E72692E" w:rsidR="00B14E7F" w:rsidRPr="00826793" w:rsidRDefault="00EE12E6" w:rsidP="00032208">
      <w:pPr>
        <w:pStyle w:val="BodyBullets"/>
        <w:rPr>
          <w:b/>
          <w:bCs/>
          <w:u w:val="single"/>
          <w:lang w:val="en-US"/>
        </w:rPr>
      </w:pPr>
      <w:r w:rsidRPr="00032208">
        <w:rPr>
          <w:b/>
          <w:bCs/>
          <w:lang w:val="en-US"/>
        </w:rPr>
        <w:t>UK Immigration/Visa:</w:t>
      </w:r>
      <w:r w:rsidRPr="00032208">
        <w:rPr>
          <w:lang w:val="en-US"/>
        </w:rPr>
        <w:t xml:space="preserve"> </w:t>
      </w:r>
      <w:r w:rsidR="00032208" w:rsidRPr="00032208">
        <w:t>This Working Group</w:t>
      </w:r>
      <w:r w:rsidR="00405A77">
        <w:t xml:space="preserve"> discusses and </w:t>
      </w:r>
      <w:r w:rsidR="00032208" w:rsidRPr="00032208">
        <w:t xml:space="preserve">provides feedback on </w:t>
      </w:r>
      <w:r w:rsidR="00405A77">
        <w:t xml:space="preserve">proposals to change </w:t>
      </w:r>
      <w:r w:rsidR="00032208" w:rsidRPr="00032208">
        <w:t xml:space="preserve">the UK Immigration/Visa system. </w:t>
      </w:r>
      <w:r w:rsidR="00A179C4">
        <w:t xml:space="preserve">It </w:t>
      </w:r>
      <w:proofErr w:type="spellStart"/>
      <w:r w:rsidR="00A179C4">
        <w:t>monitors</w:t>
      </w:r>
      <w:r w:rsidR="00032208" w:rsidRPr="00032208">
        <w:t>the</w:t>
      </w:r>
      <w:proofErr w:type="spellEnd"/>
      <w:r w:rsidR="00032208" w:rsidRPr="00032208">
        <w:t xml:space="preserve"> UK’s approach to immigration,</w:t>
      </w:r>
      <w:r w:rsidR="00A179C4">
        <w:t xml:space="preserve"> in particular</w:t>
      </w:r>
      <w:r w:rsidR="00032208" w:rsidRPr="00032208">
        <w:t xml:space="preserve"> following the publication of the Home Office’s immigration white paper </w:t>
      </w:r>
      <w:hyperlink r:id="rId69" w:history="1">
        <w:r w:rsidR="00032208" w:rsidRPr="00032208">
          <w:rPr>
            <w:rStyle w:val="Hyperlink"/>
          </w:rPr>
          <w:t>‘Restoring control over the immigration system’</w:t>
        </w:r>
      </w:hyperlink>
      <w:r w:rsidR="00032208" w:rsidRPr="00032208">
        <w:t> on 12 May 2025.</w:t>
      </w:r>
    </w:p>
    <w:p w14:paraId="64740790" w14:textId="77777777" w:rsidR="00F0428C" w:rsidRDefault="00F0428C" w:rsidP="00F0428C">
      <w:pPr>
        <w:pStyle w:val="BodyBullets"/>
        <w:numPr>
          <w:ilvl w:val="0"/>
          <w:numId w:val="0"/>
        </w:numPr>
        <w:ind w:left="720" w:hanging="360"/>
        <w:rPr>
          <w:b/>
          <w:bCs/>
          <w:u w:val="single"/>
          <w:lang w:val="en-US"/>
        </w:rPr>
      </w:pPr>
    </w:p>
    <w:p w14:paraId="5785B84D" w14:textId="77777777" w:rsidR="00F0428C" w:rsidRDefault="00F0428C" w:rsidP="00F0428C">
      <w:pPr>
        <w:pStyle w:val="BodyBullets"/>
        <w:numPr>
          <w:ilvl w:val="0"/>
          <w:numId w:val="0"/>
        </w:numPr>
        <w:ind w:left="720" w:hanging="360"/>
        <w:rPr>
          <w:b/>
          <w:bCs/>
          <w:u w:val="single"/>
          <w:lang w:val="en-US"/>
        </w:rPr>
      </w:pPr>
    </w:p>
    <w:p w14:paraId="4A6CEDC9" w14:textId="4D4FBD0A" w:rsidR="00F0428C" w:rsidRPr="00F0428C" w:rsidRDefault="00F0428C" w:rsidP="00F0428C">
      <w:pPr>
        <w:pStyle w:val="BodyBullets"/>
        <w:numPr>
          <w:ilvl w:val="0"/>
          <w:numId w:val="0"/>
        </w:numPr>
        <w:ind w:left="720" w:hanging="360"/>
        <w:rPr>
          <w:b/>
          <w:bCs/>
          <w:lang w:val="en-US"/>
        </w:rPr>
      </w:pPr>
      <w:r>
        <w:rPr>
          <w:b/>
          <w:bCs/>
          <w:lang w:val="en-US"/>
        </w:rPr>
        <w:t xml:space="preserve">1 </w:t>
      </w:r>
      <w:r w:rsidR="00112AD0">
        <w:rPr>
          <w:b/>
          <w:bCs/>
          <w:lang w:val="en-US"/>
        </w:rPr>
        <w:t>September</w:t>
      </w:r>
      <w:r>
        <w:rPr>
          <w:b/>
          <w:bCs/>
          <w:lang w:val="en-US"/>
        </w:rPr>
        <w:t xml:space="preserve"> 2025</w:t>
      </w:r>
    </w:p>
    <w:p w14:paraId="3EE7C9EE" w14:textId="088E178B" w:rsidR="00402918" w:rsidRPr="00D106F3" w:rsidRDefault="00402918" w:rsidP="000F5542">
      <w:pPr>
        <w:pStyle w:val="BodyCopy"/>
        <w:jc w:val="both"/>
      </w:pPr>
    </w:p>
    <w:sectPr w:rsidR="00402918" w:rsidRPr="00D106F3" w:rsidSect="00535460">
      <w:headerReference w:type="default" r:id="rId70"/>
      <w:footerReference w:type="default" r:id="rId71"/>
      <w:headerReference w:type="first" r:id="rId72"/>
      <w:footerReference w:type="first" r:id="rId73"/>
      <w:pgSz w:w="11900" w:h="16840"/>
      <w:pgMar w:top="1482" w:right="957" w:bottom="1162" w:left="1162" w:header="709" w:footer="2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11B45" w14:textId="77777777" w:rsidR="001D7476" w:rsidRDefault="001D7476" w:rsidP="009D7921">
      <w:r>
        <w:separator/>
      </w:r>
    </w:p>
  </w:endnote>
  <w:endnote w:type="continuationSeparator" w:id="0">
    <w:p w14:paraId="0F764EAF" w14:textId="77777777" w:rsidR="001D7476" w:rsidRDefault="001D7476" w:rsidP="009D7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Medium">
    <w:charset w:val="00"/>
    <w:family w:val="swiss"/>
    <w:pitch w:val="variable"/>
    <w:sig w:usb0="E00002FF" w:usb1="1200A1FF" w:usb2="00000001" w:usb3="00000000" w:csb0="0000019F" w:csb1="00000000"/>
  </w:font>
  <w:font w:name="Inter UI">
    <w:panose1 w:val="020B0502030000000004"/>
    <w:charset w:val="00"/>
    <w:family w:val="swiss"/>
    <w:notTrueType/>
    <w:pitch w:val="variable"/>
    <w:sig w:usb0="E0000AFF" w:usb1="5000217F" w:usb2="00000021" w:usb3="00000000" w:csb0="0000019F" w:csb1="00000000"/>
  </w:font>
  <w:font w:name="Times New Roman (Body CS)">
    <w:altName w:val="Angsana New"/>
    <w:panose1 w:val="00000000000000000000"/>
    <w:charset w:val="00"/>
    <w:family w:val="roman"/>
    <w:notTrueType/>
    <w:pitch w:val="default"/>
  </w:font>
  <w:font w:name="Inter UI Medium">
    <w:altName w:val="Calibri"/>
    <w:panose1 w:val="020B0602030000000004"/>
    <w:charset w:val="00"/>
    <w:family w:val="swiss"/>
    <w:notTrueType/>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9229524"/>
      <w:docPartObj>
        <w:docPartGallery w:val="Page Numbers (Bottom of Page)"/>
        <w:docPartUnique/>
      </w:docPartObj>
    </w:sdtPr>
    <w:sdtEndPr>
      <w:rPr>
        <w:noProof/>
      </w:rPr>
    </w:sdtEndPr>
    <w:sdtContent>
      <w:p w14:paraId="176AC178" w14:textId="359B0DB8" w:rsidR="00295B3C" w:rsidRDefault="00295B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247008" w14:textId="77777777" w:rsidR="0057621E" w:rsidRDefault="0057621E" w:rsidP="0082679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0548603"/>
      <w:docPartObj>
        <w:docPartGallery w:val="Page Numbers (Bottom of Page)"/>
        <w:docPartUnique/>
      </w:docPartObj>
    </w:sdtPr>
    <w:sdtEndPr>
      <w:rPr>
        <w:noProof/>
      </w:rPr>
    </w:sdtEndPr>
    <w:sdtContent>
      <w:p w14:paraId="37DCE600" w14:textId="33BCB21B" w:rsidR="0057621E" w:rsidRDefault="005762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2DC877" w14:textId="77777777" w:rsidR="00322EF8" w:rsidRPr="00322EF8" w:rsidRDefault="00322EF8">
    <w:pPr>
      <w:pStyle w:val="Footer"/>
      <w:rPr>
        <w:rFonts w:ascii="Arial" w:hAnsi="Arial" w:cs="Arial"/>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BF624" w14:textId="77777777" w:rsidR="001D7476" w:rsidRDefault="001D7476" w:rsidP="009D7921">
      <w:r>
        <w:separator/>
      </w:r>
    </w:p>
  </w:footnote>
  <w:footnote w:type="continuationSeparator" w:id="0">
    <w:p w14:paraId="0C583ABD" w14:textId="77777777" w:rsidR="001D7476" w:rsidRDefault="001D7476" w:rsidP="009D79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A5640" w14:textId="77777777" w:rsidR="00CD0412" w:rsidRDefault="002D623B">
    <w:pPr>
      <w:pStyle w:val="Header"/>
    </w:pPr>
    <w:r>
      <w:rPr>
        <w:noProof/>
      </w:rPr>
      <w:drawing>
        <wp:anchor distT="0" distB="0" distL="114300" distR="114300" simplePos="0" relativeHeight="251663360" behindDoc="1" locked="0" layoutInCell="1" allowOverlap="1" wp14:anchorId="06E07FA0" wp14:editId="22C30ECC">
          <wp:simplePos x="0" y="0"/>
          <wp:positionH relativeFrom="page">
            <wp:align>right</wp:align>
          </wp:positionH>
          <wp:positionV relativeFrom="page">
            <wp:posOffset>218440</wp:posOffset>
          </wp:positionV>
          <wp:extent cx="7553960" cy="10676255"/>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a_AFB Corporate pages2.jpg"/>
                  <pic:cNvPicPr/>
                </pic:nvPicPr>
                <pic:blipFill>
                  <a:blip r:embed="rId1">
                    <a:extLst>
                      <a:ext uri="{28A0092B-C50C-407E-A947-70E740481C1C}">
                        <a14:useLocalDpi xmlns:a14="http://schemas.microsoft.com/office/drawing/2010/main" val="0"/>
                      </a:ext>
                    </a:extLst>
                  </a:blip>
                  <a:stretch>
                    <a:fillRect/>
                  </a:stretch>
                </pic:blipFill>
                <pic:spPr>
                  <a:xfrm>
                    <a:off x="0" y="0"/>
                    <a:ext cx="7553960" cy="10676255"/>
                  </a:xfrm>
                  <a:prstGeom prst="rect">
                    <a:avLst/>
                  </a:prstGeom>
                </pic:spPr>
              </pic:pic>
            </a:graphicData>
          </a:graphic>
          <wp14:sizeRelH relativeFrom="page">
            <wp14:pctWidth>0</wp14:pctWidth>
          </wp14:sizeRelH>
          <wp14:sizeRelV relativeFrom="page">
            <wp14:pctHeight>0</wp14:pctHeight>
          </wp14:sizeRelV>
        </wp:anchor>
      </w:drawing>
    </w:r>
  </w:p>
  <w:p w14:paraId="5EFBB083" w14:textId="77777777" w:rsidR="00CD0412" w:rsidRDefault="00CD04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7DCDA" w14:textId="77777777" w:rsidR="009D7921" w:rsidRDefault="00816B7A">
    <w:pPr>
      <w:pStyle w:val="Header"/>
    </w:pPr>
    <w:r>
      <w:rPr>
        <w:noProof/>
      </w:rPr>
      <w:drawing>
        <wp:anchor distT="0" distB="0" distL="114300" distR="114300" simplePos="0" relativeHeight="251661312" behindDoc="1" locked="0" layoutInCell="1" allowOverlap="1" wp14:anchorId="4C038E73" wp14:editId="3F7C9CEE">
          <wp:simplePos x="0" y="0"/>
          <wp:positionH relativeFrom="column">
            <wp:posOffset>-753110</wp:posOffset>
          </wp:positionH>
          <wp:positionV relativeFrom="page">
            <wp:posOffset>-8840</wp:posOffset>
          </wp:positionV>
          <wp:extent cx="7567930" cy="1069661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_AFB Corporate pages Cover.jpg"/>
                  <pic:cNvPicPr/>
                </pic:nvPicPr>
                <pic:blipFill>
                  <a:blip r:embed="rId1">
                    <a:extLst>
                      <a:ext uri="{28A0092B-C50C-407E-A947-70E740481C1C}">
                        <a14:useLocalDpi xmlns:a14="http://schemas.microsoft.com/office/drawing/2010/main" val="0"/>
                      </a:ext>
                    </a:extLst>
                  </a:blip>
                  <a:stretch>
                    <a:fillRect/>
                  </a:stretch>
                </pic:blipFill>
                <pic:spPr>
                  <a:xfrm>
                    <a:off x="0" y="0"/>
                    <a:ext cx="7569101" cy="10698265"/>
                  </a:xfrm>
                  <a:prstGeom prst="rect">
                    <a:avLst/>
                  </a:prstGeom>
                </pic:spPr>
              </pic:pic>
            </a:graphicData>
          </a:graphic>
          <wp14:sizeRelH relativeFrom="page">
            <wp14:pctWidth>0</wp14:pctWidth>
          </wp14:sizeRelH>
          <wp14:sizeRelV relativeFrom="page">
            <wp14:pctHeight>0</wp14:pctHeight>
          </wp14:sizeRelV>
        </wp:anchor>
      </w:drawing>
    </w:r>
    <w:r w:rsidR="00322EF8">
      <w:rPr>
        <w:noProof/>
      </w:rPr>
      <w:drawing>
        <wp:anchor distT="0" distB="0" distL="114300" distR="114300" simplePos="0" relativeHeight="251662336" behindDoc="1" locked="0" layoutInCell="1" allowOverlap="1" wp14:anchorId="2A9D376B" wp14:editId="6C63DF5B">
          <wp:simplePos x="0" y="0"/>
          <wp:positionH relativeFrom="column">
            <wp:posOffset>44940</wp:posOffset>
          </wp:positionH>
          <wp:positionV relativeFrom="page">
            <wp:posOffset>1665605</wp:posOffset>
          </wp:positionV>
          <wp:extent cx="1715135" cy="10064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_White.png"/>
                  <pic:cNvPicPr/>
                </pic:nvPicPr>
                <pic:blipFill>
                  <a:blip r:embed="rId2">
                    <a:extLst>
                      <a:ext uri="{28A0092B-C50C-407E-A947-70E740481C1C}">
                        <a14:useLocalDpi xmlns:a14="http://schemas.microsoft.com/office/drawing/2010/main" val="0"/>
                      </a:ext>
                    </a:extLst>
                  </a:blip>
                  <a:stretch>
                    <a:fillRect/>
                  </a:stretch>
                </pic:blipFill>
                <pic:spPr>
                  <a:xfrm>
                    <a:off x="0" y="0"/>
                    <a:ext cx="1715135" cy="1006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27A3E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D470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F2C2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408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D4B7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BCB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DA9F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6694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E6BBA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1473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27153"/>
    <w:multiLevelType w:val="hybridMultilevel"/>
    <w:tmpl w:val="0DF6F76C"/>
    <w:lvl w:ilvl="0" w:tplc="716CA38C">
      <w:start w:val="1"/>
      <w:numFmt w:val="bullet"/>
      <w:lvlText w:val=""/>
      <w:lvlJc w:val="left"/>
      <w:pPr>
        <w:ind w:left="720" w:hanging="360"/>
      </w:pPr>
      <w:rPr>
        <w:rFonts w:ascii="Symbol" w:hAnsi="Symbol" w:hint="default"/>
        <w:color w:val="004B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C42050"/>
    <w:multiLevelType w:val="hybridMultilevel"/>
    <w:tmpl w:val="8892A8B6"/>
    <w:lvl w:ilvl="0" w:tplc="3BA2FDF6">
      <w:start w:val="100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559BC"/>
    <w:multiLevelType w:val="multilevel"/>
    <w:tmpl w:val="0409001D"/>
    <w:styleLink w:val="AFBChapterSub-Heading"/>
    <w:lvl w:ilvl="0">
      <w:start w:val="1"/>
      <w:numFmt w:val="upperLetter"/>
      <w:lvlText w:val="%1)"/>
      <w:lvlJc w:val="left"/>
      <w:pPr>
        <w:ind w:left="360" w:hanging="360"/>
      </w:pPr>
      <w:rPr>
        <w:rFonts w:ascii="Inter Medium" w:hAnsi="Inter Medium"/>
        <w:b w:val="0"/>
        <w:i w:val="0"/>
        <w:color w:val="00204B" w:themeColor="text1"/>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D24DED"/>
    <w:multiLevelType w:val="hybridMultilevel"/>
    <w:tmpl w:val="604015D6"/>
    <w:lvl w:ilvl="0" w:tplc="144C20AE">
      <w:start w:val="1"/>
      <w:numFmt w:val="decimal"/>
      <w:pStyle w:val="FurtherSubHead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AE3951"/>
    <w:multiLevelType w:val="hybridMultilevel"/>
    <w:tmpl w:val="2A2642D4"/>
    <w:lvl w:ilvl="0" w:tplc="3280AA06">
      <w:start w:val="1"/>
      <w:numFmt w:val="upperLetter"/>
      <w:pStyle w:val="CharacterSubHeadi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7D5CC5"/>
    <w:multiLevelType w:val="multilevel"/>
    <w:tmpl w:val="0409001D"/>
    <w:styleLink w:val="AFBChapterSubHeading"/>
    <w:lvl w:ilvl="0">
      <w:start w:val="1"/>
      <w:numFmt w:val="upperLetter"/>
      <w:lvlText w:val="%1)"/>
      <w:lvlJc w:val="left"/>
      <w:pPr>
        <w:ind w:left="360" w:hanging="360"/>
      </w:pPr>
      <w:rPr>
        <w:rFonts w:ascii="Inter Medium" w:hAnsi="Inter Medium"/>
        <w:b w:val="0"/>
        <w:i w:val="0"/>
        <w:color w:val="00204B" w:themeColor="text1"/>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A301D52"/>
    <w:multiLevelType w:val="hybridMultilevel"/>
    <w:tmpl w:val="361C5104"/>
    <w:lvl w:ilvl="0" w:tplc="08090001">
      <w:start w:val="1"/>
      <w:numFmt w:val="bullet"/>
      <w:lvlText w:val=""/>
      <w:lvlJc w:val="left"/>
      <w:pPr>
        <w:ind w:left="1074" w:hanging="360"/>
      </w:pPr>
      <w:rPr>
        <w:rFonts w:ascii="Symbol" w:hAnsi="Symbol" w:hint="default"/>
      </w:rPr>
    </w:lvl>
    <w:lvl w:ilvl="1" w:tplc="08090003">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7" w15:restartNumberingAfterBreak="0">
    <w:nsid w:val="2BBF703E"/>
    <w:multiLevelType w:val="multilevel"/>
    <w:tmpl w:val="0409001D"/>
    <w:styleLink w:val="AFBChapterSubHeadingStyle"/>
    <w:lvl w:ilvl="0">
      <w:start w:val="1"/>
      <w:numFmt w:val="upperLetter"/>
      <w:lvlText w:val="%1"/>
      <w:lvlJc w:val="left"/>
      <w:pPr>
        <w:ind w:left="360" w:hanging="360"/>
      </w:pPr>
      <w:rPr>
        <w:rFonts w:ascii="Inter Medium" w:hAnsi="Inter Medium" w:hint="default"/>
        <w:b w:val="0"/>
        <w:i w:val="0"/>
        <w:color w:val="004BFF" w:themeColor="accent1"/>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0AD78D2"/>
    <w:multiLevelType w:val="hybridMultilevel"/>
    <w:tmpl w:val="24D2E4FE"/>
    <w:lvl w:ilvl="0" w:tplc="8AAA1E84">
      <w:start w:val="1"/>
      <w:numFmt w:val="bullet"/>
      <w:pStyle w:val="BodyBullets"/>
      <w:lvlText w:val=""/>
      <w:lvlJc w:val="left"/>
      <w:pPr>
        <w:ind w:left="720" w:hanging="360"/>
      </w:pPr>
      <w:rPr>
        <w:rFonts w:ascii="Symbol" w:hAnsi="Symbol" w:hint="default"/>
        <w:color w:val="004BFF"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0603F8"/>
    <w:multiLevelType w:val="multilevel"/>
    <w:tmpl w:val="0409001D"/>
    <w:styleLink w:val="ChapterSubHeadings"/>
    <w:lvl w:ilvl="0">
      <w:start w:val="1"/>
      <w:numFmt w:val="upperLetter"/>
      <w:lvlText w:val="%1)"/>
      <w:lvlJc w:val="left"/>
      <w:pPr>
        <w:ind w:left="360" w:hanging="360"/>
      </w:pPr>
      <w:rPr>
        <w:rFonts w:ascii="Inter Medium" w:hAnsi="Inter Medium"/>
        <w:b w:val="0"/>
        <w:i w:val="0"/>
        <w:color w:val="004BFF" w:themeColor="accent1"/>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EDF13C8"/>
    <w:multiLevelType w:val="multilevel"/>
    <w:tmpl w:val="0409001D"/>
    <w:styleLink w:val="AFBChapterSubHeadings"/>
    <w:lvl w:ilvl="0">
      <w:start w:val="1"/>
      <w:numFmt w:val="upperLetter"/>
      <w:lvlText w:val="%1)"/>
      <w:lvlJc w:val="left"/>
      <w:pPr>
        <w:ind w:left="360" w:hanging="360"/>
      </w:pPr>
      <w:rPr>
        <w:rFonts w:ascii="Inter Medium" w:hAnsi="Inter Medium"/>
        <w:b w:val="0"/>
        <w:i w:val="0"/>
        <w:color w:val="00204B" w:themeColor="text1"/>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A1A6A0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07956A4"/>
    <w:multiLevelType w:val="hybridMultilevel"/>
    <w:tmpl w:val="36B8B7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7A90A1D"/>
    <w:multiLevelType w:val="hybridMultilevel"/>
    <w:tmpl w:val="F06A99CE"/>
    <w:lvl w:ilvl="0" w:tplc="1E5610A2">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4A0F0E"/>
    <w:multiLevelType w:val="hybridMultilevel"/>
    <w:tmpl w:val="ACC0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535D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DC5514A"/>
    <w:multiLevelType w:val="hybridMultilevel"/>
    <w:tmpl w:val="93522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5933067">
    <w:abstractNumId w:val="23"/>
  </w:num>
  <w:num w:numId="2" w16cid:durableId="596593836">
    <w:abstractNumId w:val="11"/>
  </w:num>
  <w:num w:numId="3" w16cid:durableId="586963731">
    <w:abstractNumId w:val="0"/>
  </w:num>
  <w:num w:numId="4" w16cid:durableId="374475512">
    <w:abstractNumId w:val="1"/>
  </w:num>
  <w:num w:numId="5" w16cid:durableId="707805082">
    <w:abstractNumId w:val="2"/>
  </w:num>
  <w:num w:numId="6" w16cid:durableId="1542859772">
    <w:abstractNumId w:val="3"/>
  </w:num>
  <w:num w:numId="7" w16cid:durableId="1167407754">
    <w:abstractNumId w:val="8"/>
  </w:num>
  <w:num w:numId="8" w16cid:durableId="1944919423">
    <w:abstractNumId w:val="4"/>
  </w:num>
  <w:num w:numId="9" w16cid:durableId="1407999449">
    <w:abstractNumId w:val="5"/>
  </w:num>
  <w:num w:numId="10" w16cid:durableId="2074693535">
    <w:abstractNumId w:val="6"/>
  </w:num>
  <w:num w:numId="11" w16cid:durableId="98524336">
    <w:abstractNumId w:val="7"/>
  </w:num>
  <w:num w:numId="12" w16cid:durableId="1099712668">
    <w:abstractNumId w:val="9"/>
  </w:num>
  <w:num w:numId="13" w16cid:durableId="1079789552">
    <w:abstractNumId w:val="12"/>
  </w:num>
  <w:num w:numId="14" w16cid:durableId="592931056">
    <w:abstractNumId w:val="15"/>
  </w:num>
  <w:num w:numId="15" w16cid:durableId="1416246306">
    <w:abstractNumId w:val="20"/>
  </w:num>
  <w:num w:numId="16" w16cid:durableId="1891958879">
    <w:abstractNumId w:val="17"/>
  </w:num>
  <w:num w:numId="17" w16cid:durableId="681249212">
    <w:abstractNumId w:val="19"/>
  </w:num>
  <w:num w:numId="18" w16cid:durableId="1861895059">
    <w:abstractNumId w:val="13"/>
  </w:num>
  <w:num w:numId="19" w16cid:durableId="1584875137">
    <w:abstractNumId w:val="18"/>
  </w:num>
  <w:num w:numId="20" w16cid:durableId="1299843951">
    <w:abstractNumId w:val="25"/>
  </w:num>
  <w:num w:numId="21" w16cid:durableId="1201750496">
    <w:abstractNumId w:val="21"/>
  </w:num>
  <w:num w:numId="22" w16cid:durableId="1537231026">
    <w:abstractNumId w:val="14"/>
  </w:num>
  <w:num w:numId="23" w16cid:durableId="491071670">
    <w:abstractNumId w:val="26"/>
  </w:num>
  <w:num w:numId="24" w16cid:durableId="531000856">
    <w:abstractNumId w:val="24"/>
  </w:num>
  <w:num w:numId="25" w16cid:durableId="1326468145">
    <w:abstractNumId w:val="18"/>
  </w:num>
  <w:num w:numId="26" w16cid:durableId="1214004628">
    <w:abstractNumId w:val="18"/>
  </w:num>
  <w:num w:numId="27" w16cid:durableId="286741248">
    <w:abstractNumId w:val="22"/>
  </w:num>
  <w:num w:numId="28" w16cid:durableId="243879541">
    <w:abstractNumId w:val="16"/>
  </w:num>
  <w:num w:numId="29" w16cid:durableId="6247735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E7F"/>
    <w:rsid w:val="00032208"/>
    <w:rsid w:val="00045491"/>
    <w:rsid w:val="00077C77"/>
    <w:rsid w:val="000C4261"/>
    <w:rsid w:val="000C666B"/>
    <w:rsid w:val="000C7026"/>
    <w:rsid w:val="000C781F"/>
    <w:rsid w:val="000D1A74"/>
    <w:rsid w:val="000E1D62"/>
    <w:rsid w:val="000E4E40"/>
    <w:rsid w:val="000F3DC3"/>
    <w:rsid w:val="000F44DB"/>
    <w:rsid w:val="000F5542"/>
    <w:rsid w:val="0010027A"/>
    <w:rsid w:val="00112AD0"/>
    <w:rsid w:val="0012069B"/>
    <w:rsid w:val="001443E5"/>
    <w:rsid w:val="00170AE9"/>
    <w:rsid w:val="00193892"/>
    <w:rsid w:val="001A37A9"/>
    <w:rsid w:val="001A6EE6"/>
    <w:rsid w:val="001B7CA5"/>
    <w:rsid w:val="001C4DF7"/>
    <w:rsid w:val="001C6C34"/>
    <w:rsid w:val="001D1278"/>
    <w:rsid w:val="001D36A3"/>
    <w:rsid w:val="001D7476"/>
    <w:rsid w:val="001F397C"/>
    <w:rsid w:val="002341D0"/>
    <w:rsid w:val="00264AEB"/>
    <w:rsid w:val="00275439"/>
    <w:rsid w:val="002858EF"/>
    <w:rsid w:val="002935DE"/>
    <w:rsid w:val="00295B3C"/>
    <w:rsid w:val="002B1226"/>
    <w:rsid w:val="002D623B"/>
    <w:rsid w:val="002E065C"/>
    <w:rsid w:val="002E16DE"/>
    <w:rsid w:val="00301D4C"/>
    <w:rsid w:val="00304977"/>
    <w:rsid w:val="00307770"/>
    <w:rsid w:val="00321463"/>
    <w:rsid w:val="00322EF8"/>
    <w:rsid w:val="0037037F"/>
    <w:rsid w:val="00370DDA"/>
    <w:rsid w:val="003B761F"/>
    <w:rsid w:val="003C2551"/>
    <w:rsid w:val="003D07AA"/>
    <w:rsid w:val="00402918"/>
    <w:rsid w:val="00405A77"/>
    <w:rsid w:val="004B65E7"/>
    <w:rsid w:val="004C3B8B"/>
    <w:rsid w:val="004D505C"/>
    <w:rsid w:val="00510983"/>
    <w:rsid w:val="00512ABB"/>
    <w:rsid w:val="00527954"/>
    <w:rsid w:val="00535460"/>
    <w:rsid w:val="00546F35"/>
    <w:rsid w:val="00550459"/>
    <w:rsid w:val="00551D44"/>
    <w:rsid w:val="0057621E"/>
    <w:rsid w:val="00585DAE"/>
    <w:rsid w:val="00585EE7"/>
    <w:rsid w:val="005902EB"/>
    <w:rsid w:val="005A63EC"/>
    <w:rsid w:val="005B13AB"/>
    <w:rsid w:val="005B3D09"/>
    <w:rsid w:val="005B5897"/>
    <w:rsid w:val="005D1DB0"/>
    <w:rsid w:val="005D72D6"/>
    <w:rsid w:val="005E0E00"/>
    <w:rsid w:val="005E2385"/>
    <w:rsid w:val="00625EE1"/>
    <w:rsid w:val="00641C53"/>
    <w:rsid w:val="00657992"/>
    <w:rsid w:val="006723B5"/>
    <w:rsid w:val="00680B1F"/>
    <w:rsid w:val="006A4C78"/>
    <w:rsid w:val="006A7FC2"/>
    <w:rsid w:val="006C4A20"/>
    <w:rsid w:val="006C4E17"/>
    <w:rsid w:val="006D365D"/>
    <w:rsid w:val="006E5A82"/>
    <w:rsid w:val="0070657F"/>
    <w:rsid w:val="00723FF7"/>
    <w:rsid w:val="00727BFF"/>
    <w:rsid w:val="00732F29"/>
    <w:rsid w:val="00770D71"/>
    <w:rsid w:val="007D4C05"/>
    <w:rsid w:val="007F06BB"/>
    <w:rsid w:val="007F3E56"/>
    <w:rsid w:val="00812487"/>
    <w:rsid w:val="00816B7A"/>
    <w:rsid w:val="00817A57"/>
    <w:rsid w:val="00822D6E"/>
    <w:rsid w:val="00826793"/>
    <w:rsid w:val="00843873"/>
    <w:rsid w:val="0084407E"/>
    <w:rsid w:val="00870F75"/>
    <w:rsid w:val="00894E01"/>
    <w:rsid w:val="008B6937"/>
    <w:rsid w:val="008C270A"/>
    <w:rsid w:val="008C5138"/>
    <w:rsid w:val="008F30D9"/>
    <w:rsid w:val="009173BF"/>
    <w:rsid w:val="00934B0F"/>
    <w:rsid w:val="0097370E"/>
    <w:rsid w:val="009800F4"/>
    <w:rsid w:val="00993BF5"/>
    <w:rsid w:val="00996687"/>
    <w:rsid w:val="009A779C"/>
    <w:rsid w:val="009B0A5B"/>
    <w:rsid w:val="009B3C23"/>
    <w:rsid w:val="009C093B"/>
    <w:rsid w:val="009C6EE4"/>
    <w:rsid w:val="009D3D7A"/>
    <w:rsid w:val="009D7921"/>
    <w:rsid w:val="00A179C4"/>
    <w:rsid w:val="00A3700F"/>
    <w:rsid w:val="00A617CE"/>
    <w:rsid w:val="00A6472D"/>
    <w:rsid w:val="00AC1DF0"/>
    <w:rsid w:val="00AF04D5"/>
    <w:rsid w:val="00B0631F"/>
    <w:rsid w:val="00B0662D"/>
    <w:rsid w:val="00B12171"/>
    <w:rsid w:val="00B14E7F"/>
    <w:rsid w:val="00B417BA"/>
    <w:rsid w:val="00BA3058"/>
    <w:rsid w:val="00BA341F"/>
    <w:rsid w:val="00BB1533"/>
    <w:rsid w:val="00BB49A9"/>
    <w:rsid w:val="00C00D0B"/>
    <w:rsid w:val="00C4058E"/>
    <w:rsid w:val="00C41311"/>
    <w:rsid w:val="00C65160"/>
    <w:rsid w:val="00C701B7"/>
    <w:rsid w:val="00C70FAF"/>
    <w:rsid w:val="00CA1A09"/>
    <w:rsid w:val="00CD0412"/>
    <w:rsid w:val="00CE38F2"/>
    <w:rsid w:val="00CF623E"/>
    <w:rsid w:val="00D106F3"/>
    <w:rsid w:val="00D161F3"/>
    <w:rsid w:val="00D165A9"/>
    <w:rsid w:val="00D228C0"/>
    <w:rsid w:val="00D301D9"/>
    <w:rsid w:val="00D34631"/>
    <w:rsid w:val="00D4583F"/>
    <w:rsid w:val="00D71C9F"/>
    <w:rsid w:val="00D81BE9"/>
    <w:rsid w:val="00D8483D"/>
    <w:rsid w:val="00DB308C"/>
    <w:rsid w:val="00DC0D99"/>
    <w:rsid w:val="00DC6A12"/>
    <w:rsid w:val="00DE56F6"/>
    <w:rsid w:val="00E039BF"/>
    <w:rsid w:val="00E06BDF"/>
    <w:rsid w:val="00E1415A"/>
    <w:rsid w:val="00E559A0"/>
    <w:rsid w:val="00E673CA"/>
    <w:rsid w:val="00E705CC"/>
    <w:rsid w:val="00E84D60"/>
    <w:rsid w:val="00EA0E6E"/>
    <w:rsid w:val="00EA24DB"/>
    <w:rsid w:val="00EA407D"/>
    <w:rsid w:val="00EA6308"/>
    <w:rsid w:val="00EB0189"/>
    <w:rsid w:val="00EC68CF"/>
    <w:rsid w:val="00EE12E6"/>
    <w:rsid w:val="00EE3E03"/>
    <w:rsid w:val="00EF0C53"/>
    <w:rsid w:val="00EF294D"/>
    <w:rsid w:val="00EF4A2E"/>
    <w:rsid w:val="00F01716"/>
    <w:rsid w:val="00F0428C"/>
    <w:rsid w:val="00F05373"/>
    <w:rsid w:val="00F2325F"/>
    <w:rsid w:val="00F43D85"/>
    <w:rsid w:val="00F70DCB"/>
    <w:rsid w:val="00F7219D"/>
    <w:rsid w:val="00FB402D"/>
    <w:rsid w:val="00FC60B5"/>
    <w:rsid w:val="00FD6904"/>
    <w:rsid w:val="00FD6A6C"/>
    <w:rsid w:val="00FF1D88"/>
    <w:rsid w:val="00FF3EDB"/>
    <w:rsid w:val="00FF7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F9E71"/>
  <w15:chartTrackingRefBased/>
  <w15:docId w15:val="{083094E5-5A3B-4234-822E-6C57FC422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8C5138"/>
    <w:pPr>
      <w:keepNext/>
      <w:keepLines/>
      <w:spacing w:before="240"/>
      <w:outlineLvl w:val="0"/>
    </w:pPr>
    <w:rPr>
      <w:rFonts w:asciiTheme="majorHAnsi" w:eastAsiaTheme="majorEastAsia" w:hAnsiTheme="majorHAnsi" w:cstheme="majorBidi"/>
      <w:color w:val="0038BF" w:themeColor="accent1" w:themeShade="BF"/>
      <w:sz w:val="32"/>
      <w:szCs w:val="32"/>
    </w:rPr>
  </w:style>
  <w:style w:type="paragraph" w:styleId="Heading2">
    <w:name w:val="heading 2"/>
    <w:basedOn w:val="Normal"/>
    <w:next w:val="Normal"/>
    <w:link w:val="Heading2Char"/>
    <w:uiPriority w:val="9"/>
    <w:semiHidden/>
    <w:unhideWhenUsed/>
    <w:qFormat/>
    <w:rsid w:val="008C5138"/>
    <w:pPr>
      <w:keepNext/>
      <w:keepLines/>
      <w:spacing w:before="40"/>
      <w:outlineLvl w:val="1"/>
    </w:pPr>
    <w:rPr>
      <w:rFonts w:asciiTheme="majorHAnsi" w:eastAsiaTheme="majorEastAsia" w:hAnsiTheme="majorHAnsi" w:cstheme="majorBidi"/>
      <w:color w:val="0038B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921"/>
    <w:pPr>
      <w:tabs>
        <w:tab w:val="center" w:pos="4680"/>
        <w:tab w:val="right" w:pos="9360"/>
      </w:tabs>
    </w:pPr>
  </w:style>
  <w:style w:type="character" w:customStyle="1" w:styleId="HeaderChar">
    <w:name w:val="Header Char"/>
    <w:basedOn w:val="DefaultParagraphFont"/>
    <w:link w:val="Header"/>
    <w:uiPriority w:val="99"/>
    <w:rsid w:val="009D7921"/>
  </w:style>
  <w:style w:type="paragraph" w:styleId="Footer">
    <w:name w:val="footer"/>
    <w:basedOn w:val="Normal"/>
    <w:link w:val="FooterChar"/>
    <w:uiPriority w:val="99"/>
    <w:unhideWhenUsed/>
    <w:rsid w:val="009D7921"/>
    <w:pPr>
      <w:tabs>
        <w:tab w:val="center" w:pos="4680"/>
        <w:tab w:val="right" w:pos="9360"/>
      </w:tabs>
    </w:pPr>
  </w:style>
  <w:style w:type="character" w:customStyle="1" w:styleId="FooterChar">
    <w:name w:val="Footer Char"/>
    <w:basedOn w:val="DefaultParagraphFont"/>
    <w:link w:val="Footer"/>
    <w:uiPriority w:val="99"/>
    <w:rsid w:val="009D7921"/>
  </w:style>
  <w:style w:type="paragraph" w:customStyle="1" w:styleId="AFBHEADING2">
    <w:name w:val="AFB HEADING2"/>
    <w:basedOn w:val="Heading1"/>
    <w:link w:val="AFBHEADING2Char"/>
    <w:rsid w:val="008C5138"/>
    <w:pPr>
      <w:spacing w:after="320"/>
      <w:contextualSpacing/>
    </w:pPr>
    <w:rPr>
      <w:rFonts w:ascii="Calibri" w:hAnsi="Calibri"/>
      <w:caps/>
      <w:color w:val="00204B"/>
      <w:spacing w:val="14"/>
      <w:sz w:val="48"/>
      <w:bdr w:val="nil"/>
      <w:lang w:val="en-US" w:eastAsia="ja-JP"/>
    </w:rPr>
  </w:style>
  <w:style w:type="character" w:customStyle="1" w:styleId="AFBHEADING2Char">
    <w:name w:val="AFB HEADING2 Char"/>
    <w:basedOn w:val="Heading1Char"/>
    <w:link w:val="AFBHEADING2"/>
    <w:rsid w:val="008C5138"/>
    <w:rPr>
      <w:rFonts w:ascii="Calibri" w:eastAsiaTheme="majorEastAsia" w:hAnsi="Calibri" w:cstheme="majorBidi"/>
      <w:caps/>
      <w:color w:val="00204B"/>
      <w:spacing w:val="14"/>
      <w:sz w:val="48"/>
      <w:szCs w:val="32"/>
      <w:bdr w:val="nil"/>
      <w:lang w:val="en-US" w:eastAsia="ja-JP"/>
    </w:rPr>
  </w:style>
  <w:style w:type="paragraph" w:customStyle="1" w:styleId="AFBNormal">
    <w:name w:val="AFB Normal"/>
    <w:basedOn w:val="Normal"/>
    <w:link w:val="AFBNormalChar"/>
    <w:rsid w:val="008C5138"/>
    <w:pPr>
      <w:spacing w:before="120" w:after="120" w:line="259" w:lineRule="auto"/>
      <w:jc w:val="both"/>
    </w:pPr>
    <w:rPr>
      <w:rFonts w:ascii="Calibri" w:hAnsi="Calibri"/>
      <w:color w:val="00204B"/>
      <w:sz w:val="22"/>
      <w:lang w:val="en-US" w:eastAsia="ja-JP"/>
    </w:rPr>
  </w:style>
  <w:style w:type="character" w:customStyle="1" w:styleId="AFBNormalChar">
    <w:name w:val="AFB Normal Char"/>
    <w:basedOn w:val="DefaultParagraphFont"/>
    <w:link w:val="AFBNormal"/>
    <w:rsid w:val="008C5138"/>
    <w:rPr>
      <w:rFonts w:ascii="Calibri" w:hAnsi="Calibri"/>
      <w:color w:val="00204B"/>
      <w:sz w:val="22"/>
      <w:lang w:val="en-US" w:eastAsia="ja-JP"/>
    </w:rPr>
  </w:style>
  <w:style w:type="numbering" w:customStyle="1" w:styleId="AFBChapterSubHeading">
    <w:name w:val="AFB Chapter Sub Heading"/>
    <w:basedOn w:val="NoList"/>
    <w:uiPriority w:val="99"/>
    <w:rsid w:val="00B0662D"/>
    <w:pPr>
      <w:numPr>
        <w:numId w:val="14"/>
      </w:numPr>
    </w:pPr>
  </w:style>
  <w:style w:type="numbering" w:customStyle="1" w:styleId="AFBChapterSubHeadings">
    <w:name w:val="AFB Chapter Sub Headings"/>
    <w:basedOn w:val="NoList"/>
    <w:uiPriority w:val="99"/>
    <w:rsid w:val="00B0662D"/>
    <w:pPr>
      <w:numPr>
        <w:numId w:val="15"/>
      </w:numPr>
    </w:pPr>
  </w:style>
  <w:style w:type="paragraph" w:customStyle="1" w:styleId="AFBTextbox">
    <w:name w:val="AFB Textbox"/>
    <w:basedOn w:val="Normal"/>
    <w:link w:val="AFBTextboxChar"/>
    <w:rsid w:val="008C5138"/>
    <w:pPr>
      <w:spacing w:before="160" w:after="320" w:line="360" w:lineRule="auto"/>
    </w:pPr>
    <w:rPr>
      <w:rFonts w:ascii="Calibri" w:hAnsi="Calibri"/>
      <w:i/>
      <w:color w:val="00204B"/>
      <w:sz w:val="18"/>
      <w:lang w:val="en-US" w:eastAsia="ja-JP"/>
    </w:rPr>
  </w:style>
  <w:style w:type="character" w:customStyle="1" w:styleId="AFBTextboxChar">
    <w:name w:val="AFB Textbox Char"/>
    <w:basedOn w:val="DefaultParagraphFont"/>
    <w:link w:val="AFBTextbox"/>
    <w:rsid w:val="008C5138"/>
    <w:rPr>
      <w:rFonts w:ascii="Calibri" w:hAnsi="Calibri"/>
      <w:i/>
      <w:color w:val="00204B"/>
      <w:sz w:val="18"/>
      <w:lang w:val="en-US" w:eastAsia="ja-JP"/>
    </w:rPr>
  </w:style>
  <w:style w:type="character" w:customStyle="1" w:styleId="Heading1Char">
    <w:name w:val="Heading 1 Char"/>
    <w:basedOn w:val="DefaultParagraphFont"/>
    <w:link w:val="Heading1"/>
    <w:uiPriority w:val="9"/>
    <w:rsid w:val="008C5138"/>
    <w:rPr>
      <w:rFonts w:asciiTheme="majorHAnsi" w:eastAsiaTheme="majorEastAsia" w:hAnsiTheme="majorHAnsi" w:cstheme="majorBidi"/>
      <w:color w:val="0038BF" w:themeColor="accent1" w:themeShade="BF"/>
      <w:sz w:val="32"/>
      <w:szCs w:val="32"/>
    </w:rPr>
  </w:style>
  <w:style w:type="character" w:customStyle="1" w:styleId="Heading2Char">
    <w:name w:val="Heading 2 Char"/>
    <w:basedOn w:val="DefaultParagraphFont"/>
    <w:link w:val="Heading2"/>
    <w:uiPriority w:val="9"/>
    <w:semiHidden/>
    <w:rsid w:val="008C5138"/>
    <w:rPr>
      <w:rFonts w:asciiTheme="majorHAnsi" w:eastAsiaTheme="majorEastAsia" w:hAnsiTheme="majorHAnsi" w:cstheme="majorBidi"/>
      <w:color w:val="0038BF" w:themeColor="accent1" w:themeShade="BF"/>
      <w:sz w:val="26"/>
      <w:szCs w:val="26"/>
    </w:rPr>
  </w:style>
  <w:style w:type="paragraph" w:styleId="ListParagraph">
    <w:name w:val="List Paragraph"/>
    <w:basedOn w:val="Normal"/>
    <w:uiPriority w:val="34"/>
    <w:qFormat/>
    <w:rsid w:val="00C41311"/>
    <w:pPr>
      <w:ind w:left="720"/>
      <w:contextualSpacing/>
    </w:pPr>
  </w:style>
  <w:style w:type="paragraph" w:customStyle="1" w:styleId="TitlePageHeading">
    <w:name w:val="Title Page Heading"/>
    <w:basedOn w:val="Normal"/>
    <w:qFormat/>
    <w:rsid w:val="00812487"/>
    <w:pPr>
      <w:spacing w:before="240" w:after="240"/>
    </w:pPr>
    <w:rPr>
      <w:rFonts w:ascii="Inter UI" w:hAnsi="Inter UI" w:cs="Times New Roman (Body CS)"/>
      <w:b/>
      <w:caps/>
      <w:color w:val="00204B" w:themeColor="text1"/>
      <w:sz w:val="56"/>
    </w:rPr>
  </w:style>
  <w:style w:type="paragraph" w:customStyle="1" w:styleId="Style1">
    <w:name w:val="Style1"/>
    <w:basedOn w:val="Normal"/>
    <w:next w:val="TitlePageHeading"/>
    <w:rsid w:val="00551D44"/>
    <w:pPr>
      <w:jc w:val="center"/>
    </w:pPr>
  </w:style>
  <w:style w:type="paragraph" w:customStyle="1" w:styleId="DocumentHeading">
    <w:name w:val="Document Heading"/>
    <w:basedOn w:val="TitlePageHeading"/>
    <w:qFormat/>
    <w:rsid w:val="00812487"/>
    <w:rPr>
      <w:sz w:val="36"/>
    </w:rPr>
  </w:style>
  <w:style w:type="paragraph" w:customStyle="1" w:styleId="ChapterHeading">
    <w:name w:val="Chapter Heading"/>
    <w:basedOn w:val="DocumentHeading"/>
    <w:qFormat/>
    <w:rsid w:val="00812487"/>
    <w:rPr>
      <w:rFonts w:ascii="Inter UI Medium" w:hAnsi="Inter UI Medium"/>
      <w:b w:val="0"/>
      <w:sz w:val="28"/>
    </w:rPr>
  </w:style>
  <w:style w:type="numbering" w:customStyle="1" w:styleId="AFBChapterSub-Heading">
    <w:name w:val="AFB Chapter Sub-Heading"/>
    <w:basedOn w:val="NoList"/>
    <w:uiPriority w:val="99"/>
    <w:rsid w:val="006E5A82"/>
    <w:pPr>
      <w:numPr>
        <w:numId w:val="13"/>
      </w:numPr>
    </w:pPr>
  </w:style>
  <w:style w:type="numbering" w:customStyle="1" w:styleId="AFBChapterSubHeadingStyle">
    <w:name w:val="AFB Chapter Sub Heading Style"/>
    <w:basedOn w:val="NoList"/>
    <w:uiPriority w:val="99"/>
    <w:rsid w:val="00B0662D"/>
    <w:pPr>
      <w:numPr>
        <w:numId w:val="16"/>
      </w:numPr>
    </w:pPr>
  </w:style>
  <w:style w:type="paragraph" w:styleId="ListNumber">
    <w:name w:val="List Number"/>
    <w:basedOn w:val="Normal"/>
    <w:uiPriority w:val="99"/>
    <w:unhideWhenUsed/>
    <w:rsid w:val="00A3700F"/>
    <w:pPr>
      <w:numPr>
        <w:numId w:val="7"/>
      </w:numPr>
      <w:contextualSpacing/>
    </w:pPr>
  </w:style>
  <w:style w:type="numbering" w:customStyle="1" w:styleId="ChapterSubHeadings">
    <w:name w:val="Chapter Sub Headings"/>
    <w:basedOn w:val="NoList"/>
    <w:uiPriority w:val="99"/>
    <w:rsid w:val="00F43D85"/>
    <w:pPr>
      <w:numPr>
        <w:numId w:val="17"/>
      </w:numPr>
    </w:pPr>
  </w:style>
  <w:style w:type="paragraph" w:customStyle="1" w:styleId="FurtherSubHeading">
    <w:name w:val="Further Sub Heading"/>
    <w:basedOn w:val="ChapterHeading"/>
    <w:next w:val="List"/>
    <w:qFormat/>
    <w:rsid w:val="00812487"/>
    <w:pPr>
      <w:numPr>
        <w:numId w:val="18"/>
      </w:numPr>
      <w:ind w:left="357" w:hanging="357"/>
    </w:pPr>
    <w:rPr>
      <w:caps w:val="0"/>
      <w:sz w:val="22"/>
    </w:rPr>
  </w:style>
  <w:style w:type="paragraph" w:customStyle="1" w:styleId="BodyBullets">
    <w:name w:val="Body Bullets"/>
    <w:basedOn w:val="List"/>
    <w:qFormat/>
    <w:rsid w:val="00402918"/>
    <w:pPr>
      <w:numPr>
        <w:numId w:val="19"/>
      </w:numPr>
      <w:spacing w:before="120" w:after="120"/>
    </w:pPr>
    <w:rPr>
      <w:rFonts w:ascii="Inter UI" w:hAnsi="Inter UI"/>
      <w:color w:val="00204B" w:themeColor="text1"/>
      <w:sz w:val="22"/>
    </w:rPr>
  </w:style>
  <w:style w:type="paragraph" w:styleId="List">
    <w:name w:val="List"/>
    <w:basedOn w:val="Normal"/>
    <w:uiPriority w:val="99"/>
    <w:semiHidden/>
    <w:unhideWhenUsed/>
    <w:rsid w:val="00F43D85"/>
    <w:pPr>
      <w:ind w:left="283" w:hanging="283"/>
      <w:contextualSpacing/>
    </w:pPr>
  </w:style>
  <w:style w:type="paragraph" w:customStyle="1" w:styleId="CharacterSubHeading">
    <w:name w:val="Character Sub Heading"/>
    <w:basedOn w:val="List"/>
    <w:qFormat/>
    <w:rsid w:val="00812487"/>
    <w:pPr>
      <w:numPr>
        <w:numId w:val="22"/>
      </w:numPr>
      <w:spacing w:before="240" w:after="240"/>
      <w:ind w:left="357" w:hanging="357"/>
    </w:pPr>
    <w:rPr>
      <w:rFonts w:ascii="Inter UI Medium" w:hAnsi="Inter UI Medium" w:cs="Times New Roman (Body CS)"/>
      <w:caps/>
      <w:color w:val="00204B" w:themeColor="text1"/>
      <w:sz w:val="28"/>
    </w:rPr>
  </w:style>
  <w:style w:type="paragraph" w:customStyle="1" w:styleId="BodyCopy">
    <w:name w:val="Body Copy"/>
    <w:basedOn w:val="AFBNormal"/>
    <w:qFormat/>
    <w:rsid w:val="00812487"/>
    <w:pPr>
      <w:spacing w:line="240" w:lineRule="auto"/>
      <w:jc w:val="left"/>
    </w:pPr>
    <w:rPr>
      <w:rFonts w:ascii="Inter UI" w:hAnsi="Inter UI"/>
    </w:rPr>
  </w:style>
  <w:style w:type="paragraph" w:customStyle="1" w:styleId="Style2">
    <w:name w:val="Style2"/>
    <w:basedOn w:val="BodyBullets"/>
    <w:next w:val="BodyCopy"/>
    <w:rsid w:val="00402918"/>
    <w:pPr>
      <w:numPr>
        <w:numId w:val="0"/>
      </w:numPr>
      <w:ind w:left="720" w:hanging="360"/>
    </w:pPr>
  </w:style>
  <w:style w:type="character" w:styleId="Hyperlink">
    <w:name w:val="Hyperlink"/>
    <w:basedOn w:val="DefaultParagraphFont"/>
    <w:uiPriority w:val="99"/>
    <w:unhideWhenUsed/>
    <w:rsid w:val="00B14E7F"/>
    <w:rPr>
      <w:color w:val="0000FF"/>
      <w:u w:val="single"/>
    </w:rPr>
  </w:style>
  <w:style w:type="character" w:styleId="UnresolvedMention">
    <w:name w:val="Unresolved Mention"/>
    <w:basedOn w:val="DefaultParagraphFont"/>
    <w:uiPriority w:val="99"/>
    <w:semiHidden/>
    <w:unhideWhenUsed/>
    <w:rsid w:val="00527954"/>
    <w:rPr>
      <w:color w:val="605E5C"/>
      <w:shd w:val="clear" w:color="auto" w:fill="E1DFDD"/>
    </w:rPr>
  </w:style>
  <w:style w:type="paragraph" w:styleId="NormalWeb">
    <w:name w:val="Normal (Web)"/>
    <w:basedOn w:val="Normal"/>
    <w:uiPriority w:val="99"/>
    <w:semiHidden/>
    <w:unhideWhenUsed/>
    <w:rsid w:val="002858EF"/>
    <w:rPr>
      <w:rFonts w:ascii="Times New Roman" w:hAnsi="Times New Roman" w:cs="Times New Roman"/>
    </w:rPr>
  </w:style>
  <w:style w:type="paragraph" w:styleId="Revision">
    <w:name w:val="Revision"/>
    <w:hidden/>
    <w:uiPriority w:val="99"/>
    <w:semiHidden/>
    <w:rsid w:val="00E84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55057">
      <w:bodyDiv w:val="1"/>
      <w:marLeft w:val="0"/>
      <w:marRight w:val="0"/>
      <w:marTop w:val="0"/>
      <w:marBottom w:val="0"/>
      <w:divBdr>
        <w:top w:val="none" w:sz="0" w:space="0" w:color="auto"/>
        <w:left w:val="none" w:sz="0" w:space="0" w:color="auto"/>
        <w:bottom w:val="none" w:sz="0" w:space="0" w:color="auto"/>
        <w:right w:val="none" w:sz="0" w:space="0" w:color="auto"/>
      </w:divBdr>
    </w:div>
    <w:div w:id="306053458">
      <w:bodyDiv w:val="1"/>
      <w:marLeft w:val="0"/>
      <w:marRight w:val="0"/>
      <w:marTop w:val="0"/>
      <w:marBottom w:val="0"/>
      <w:divBdr>
        <w:top w:val="none" w:sz="0" w:space="0" w:color="auto"/>
        <w:left w:val="none" w:sz="0" w:space="0" w:color="auto"/>
        <w:bottom w:val="none" w:sz="0" w:space="0" w:color="auto"/>
        <w:right w:val="none" w:sz="0" w:space="0" w:color="auto"/>
      </w:divBdr>
    </w:div>
    <w:div w:id="764350799">
      <w:bodyDiv w:val="1"/>
      <w:marLeft w:val="0"/>
      <w:marRight w:val="0"/>
      <w:marTop w:val="0"/>
      <w:marBottom w:val="0"/>
      <w:divBdr>
        <w:top w:val="none" w:sz="0" w:space="0" w:color="auto"/>
        <w:left w:val="none" w:sz="0" w:space="0" w:color="auto"/>
        <w:bottom w:val="none" w:sz="0" w:space="0" w:color="auto"/>
        <w:right w:val="none" w:sz="0" w:space="0" w:color="auto"/>
      </w:divBdr>
    </w:div>
    <w:div w:id="790830521">
      <w:bodyDiv w:val="1"/>
      <w:marLeft w:val="0"/>
      <w:marRight w:val="0"/>
      <w:marTop w:val="0"/>
      <w:marBottom w:val="0"/>
      <w:divBdr>
        <w:top w:val="none" w:sz="0" w:space="0" w:color="auto"/>
        <w:left w:val="none" w:sz="0" w:space="0" w:color="auto"/>
        <w:bottom w:val="none" w:sz="0" w:space="0" w:color="auto"/>
        <w:right w:val="none" w:sz="0" w:space="0" w:color="auto"/>
      </w:divBdr>
    </w:div>
    <w:div w:id="844249126">
      <w:bodyDiv w:val="1"/>
      <w:marLeft w:val="0"/>
      <w:marRight w:val="0"/>
      <w:marTop w:val="0"/>
      <w:marBottom w:val="0"/>
      <w:divBdr>
        <w:top w:val="none" w:sz="0" w:space="0" w:color="auto"/>
        <w:left w:val="none" w:sz="0" w:space="0" w:color="auto"/>
        <w:bottom w:val="none" w:sz="0" w:space="0" w:color="auto"/>
        <w:right w:val="none" w:sz="0" w:space="0" w:color="auto"/>
      </w:divBdr>
    </w:div>
    <w:div w:id="989408536">
      <w:bodyDiv w:val="1"/>
      <w:marLeft w:val="0"/>
      <w:marRight w:val="0"/>
      <w:marTop w:val="0"/>
      <w:marBottom w:val="0"/>
      <w:divBdr>
        <w:top w:val="none" w:sz="0" w:space="0" w:color="auto"/>
        <w:left w:val="none" w:sz="0" w:space="0" w:color="auto"/>
        <w:bottom w:val="none" w:sz="0" w:space="0" w:color="auto"/>
        <w:right w:val="none" w:sz="0" w:space="0" w:color="auto"/>
      </w:divBdr>
    </w:div>
    <w:div w:id="1199858561">
      <w:bodyDiv w:val="1"/>
      <w:marLeft w:val="0"/>
      <w:marRight w:val="0"/>
      <w:marTop w:val="0"/>
      <w:marBottom w:val="0"/>
      <w:divBdr>
        <w:top w:val="none" w:sz="0" w:space="0" w:color="auto"/>
        <w:left w:val="none" w:sz="0" w:space="0" w:color="auto"/>
        <w:bottom w:val="none" w:sz="0" w:space="0" w:color="auto"/>
        <w:right w:val="none" w:sz="0" w:space="0" w:color="auto"/>
      </w:divBdr>
    </w:div>
    <w:div w:id="1271740974">
      <w:bodyDiv w:val="1"/>
      <w:marLeft w:val="0"/>
      <w:marRight w:val="0"/>
      <w:marTop w:val="0"/>
      <w:marBottom w:val="0"/>
      <w:divBdr>
        <w:top w:val="none" w:sz="0" w:space="0" w:color="auto"/>
        <w:left w:val="none" w:sz="0" w:space="0" w:color="auto"/>
        <w:bottom w:val="none" w:sz="0" w:space="0" w:color="auto"/>
        <w:right w:val="none" w:sz="0" w:space="0" w:color="auto"/>
      </w:divBdr>
    </w:div>
    <w:div w:id="1272012744">
      <w:bodyDiv w:val="1"/>
      <w:marLeft w:val="0"/>
      <w:marRight w:val="0"/>
      <w:marTop w:val="0"/>
      <w:marBottom w:val="0"/>
      <w:divBdr>
        <w:top w:val="none" w:sz="0" w:space="0" w:color="auto"/>
        <w:left w:val="none" w:sz="0" w:space="0" w:color="auto"/>
        <w:bottom w:val="none" w:sz="0" w:space="0" w:color="auto"/>
        <w:right w:val="none" w:sz="0" w:space="0" w:color="auto"/>
      </w:divBdr>
    </w:div>
    <w:div w:id="1331710219">
      <w:bodyDiv w:val="1"/>
      <w:marLeft w:val="0"/>
      <w:marRight w:val="0"/>
      <w:marTop w:val="0"/>
      <w:marBottom w:val="0"/>
      <w:divBdr>
        <w:top w:val="none" w:sz="0" w:space="0" w:color="auto"/>
        <w:left w:val="none" w:sz="0" w:space="0" w:color="auto"/>
        <w:bottom w:val="none" w:sz="0" w:space="0" w:color="auto"/>
        <w:right w:val="none" w:sz="0" w:space="0" w:color="auto"/>
      </w:divBdr>
    </w:div>
    <w:div w:id="145359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ankofengland.co.uk/prudential-regulation/publication/2022/july/operational-resilience-critical-third-parties-uk-financial-sector" TargetMode="External"/><Relationship Id="rId21" Type="http://schemas.openxmlformats.org/officeDocument/2006/relationships/hyperlink" Target="https://foreignbanks.org.uk/app/uploads/2025/03/20241125-AFB-Tax-Policy-Working-Group-ToR.pdf" TargetMode="External"/><Relationship Id="rId42" Type="http://schemas.openxmlformats.org/officeDocument/2006/relationships/hyperlink" Target="https://foreignbanks.org.uk/app/uploads/2025/06/AFB_Response_Consultation_Equality-Bill_1006_.pdf" TargetMode="External"/><Relationship Id="rId47" Type="http://schemas.openxmlformats.org/officeDocument/2006/relationships/hyperlink" Target="https://financialservicesskills.org/" TargetMode="External"/><Relationship Id="rId63" Type="http://schemas.openxmlformats.org/officeDocument/2006/relationships/hyperlink" Target="https://www.bankofengland.co.uk/prudential-regulation/publication/2025/july/review-of-the-senior-managers-and-certification-regime-consultation-paper" TargetMode="External"/><Relationship Id="rId68" Type="http://schemas.openxmlformats.org/officeDocument/2006/relationships/hyperlink" Target="https://committees.parliament.uk/call-for-evidence/3546" TargetMode="External"/><Relationship Id="rId2" Type="http://schemas.openxmlformats.org/officeDocument/2006/relationships/styles" Target="styles.xml"/><Relationship Id="rId16" Type="http://schemas.openxmlformats.org/officeDocument/2006/relationships/hyperlink" Target="https://foreignbanks.org.uk/app/uploads/2024/10/AFB_FCA-GC24_4-Response_181024.pdf" TargetMode="External"/><Relationship Id="rId29" Type="http://schemas.openxmlformats.org/officeDocument/2006/relationships/hyperlink" Target="https://foreignbanks.org.uk/app/uploads/2024/03/AFB_PRA-CP2623-Response.pdf" TargetMode="External"/><Relationship Id="rId11" Type="http://schemas.openxmlformats.org/officeDocument/2006/relationships/hyperlink" Target="https://www.gov.uk/government/consultations/uk-green-taxonomy" TargetMode="External"/><Relationship Id="rId24" Type="http://schemas.openxmlformats.org/officeDocument/2006/relationships/hyperlink" Target="https://www.bankofengland.co.uk/prudential-regulation/publication/2024/july/updates-to-ss521-and-branch-reporting-consultation-paper" TargetMode="External"/><Relationship Id="rId32" Type="http://schemas.openxmlformats.org/officeDocument/2006/relationships/hyperlink" Target="https://www.fca.org.uk/publication/consultation/cp24-28.pdf" TargetMode="External"/><Relationship Id="rId37" Type="http://schemas.openxmlformats.org/officeDocument/2006/relationships/hyperlink" Target="https://www.bankofengland.co.uk/prudential-regulation/publication/2023/september/diversity-and-inclusion-in-pra-regulated-firms" TargetMode="External"/><Relationship Id="rId40" Type="http://schemas.openxmlformats.org/officeDocument/2006/relationships/hyperlink" Target="https://www.fca.org.uk/publication/consultation/cp25-18.pdf" TargetMode="External"/><Relationship Id="rId45" Type="http://schemas.openxmlformats.org/officeDocument/2006/relationships/hyperlink" Target="https://www.bankofengland.co.uk/prudential-regulation/publication/2025/march/depositor-protection-consultation-paper" TargetMode="External"/><Relationship Id="rId53" Type="http://schemas.openxmlformats.org/officeDocument/2006/relationships/hyperlink" Target="https://www.bankofengland.co.uk/prudential-regulation/publication/2024/november/remuneration-reform-consultation-paper" TargetMode="External"/><Relationship Id="rId58" Type="http://schemas.openxmlformats.org/officeDocument/2006/relationships/hyperlink" Target="https://www.fca.org.uk/publication/feedback/fs25-2.pdf" TargetMode="External"/><Relationship Id="rId66" Type="http://schemas.openxmlformats.org/officeDocument/2006/relationships/hyperlink" Target="https://foreignbanks.org.uk/app/uploads/2024/11/AFB_-201124_Solvent-Exit-Event_PRA_slides.pdf"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foreignbanks.org.uk/app/uploads/2023/06/AFB-Response-to-FCA-PRA-DP-on-SMCR-010623-Final.pdf" TargetMode="External"/><Relationship Id="rId19" Type="http://schemas.openxmlformats.org/officeDocument/2006/relationships/hyperlink" Target="https://www.fca.org.uk/publication/finalised-guidance/fg25-3.pdf" TargetMode="External"/><Relationship Id="rId14" Type="http://schemas.openxmlformats.org/officeDocument/2006/relationships/hyperlink" Target="https://foreignbanks.org.uk/app/uploads/2025/03/AFB-Policy-and-Regulatory-Affairs-Policy-Working-Groups-Terms-of-Reference__FCC-WG-050225.pdf" TargetMode="External"/><Relationship Id="rId22" Type="http://schemas.openxmlformats.org/officeDocument/2006/relationships/hyperlink" Target="https://www.bankofengland.co.uk/prudential-regulation/publication/2021/july/pra-approach-to-branch-and-subsidiary-supervision-ss" TargetMode="External"/><Relationship Id="rId27" Type="http://schemas.openxmlformats.org/officeDocument/2006/relationships/hyperlink" Target="https://www.gov.uk/government/publications/critical-third-parties-to-the-finance-sector-policy-statement" TargetMode="External"/><Relationship Id="rId30" Type="http://schemas.openxmlformats.org/officeDocument/2006/relationships/hyperlink" Target="https://www.bankofengland.co.uk/prudential-regulation/publication/2023/december/operational-resilience-critical-third-parties-to-the-uk-financial-sector?WHB=2" TargetMode="External"/><Relationship Id="rId35" Type="http://schemas.openxmlformats.org/officeDocument/2006/relationships/hyperlink" Target="https://www.bankofengland.co.uk/prudential-regulation/publication/2024/november/operational-resilience-critical-third-parties-to-the-uk-financial-sector-supervisory-statement" TargetMode="External"/><Relationship Id="rId43" Type="http://schemas.openxmlformats.org/officeDocument/2006/relationships/hyperlink" Target="https://www.foreignbanks.org.uk/app/uploads/2022/02/EC-Proposal-for-a-Directive-to-Amend-the-CR-Directive-2013-36-EU-AFB-Comments.pdf" TargetMode="External"/><Relationship Id="rId48" Type="http://schemas.openxmlformats.org/officeDocument/2006/relationships/hyperlink" Target="https://foreignbanks.org.uk/app/uploads/2025/02/AFB-Response-to-Home-Office-Consultation-on-FIRS-Draft-Guidance-December-2025.pdf" TargetMode="External"/><Relationship Id="rId56" Type="http://schemas.openxmlformats.org/officeDocument/2006/relationships/hyperlink" Target="https://www.fca.org.uk/publications/calls-input/review-fca-requirements-following-introduction-consumer-duty" TargetMode="External"/><Relationship Id="rId64" Type="http://schemas.openxmlformats.org/officeDocument/2006/relationships/hyperlink" Target="https://www.fca.org.uk/publications/consultation-papers/cp25-21-senior-managers-certification-regime-review" TargetMode="External"/><Relationship Id="rId69" Type="http://schemas.openxmlformats.org/officeDocument/2006/relationships/hyperlink" Target="https://www.gov.uk/government/publications/restoring-control-over-the-immigration-system-white-paper/restoring-control-over-the-immigration-system-accessible" TargetMode="External"/><Relationship Id="rId8" Type="http://schemas.openxmlformats.org/officeDocument/2006/relationships/hyperlink" Target="https://foreignbanks.org.uk/app/uploads/2024/01/AFB_FCA-GC23_3-Response.pdf" TargetMode="External"/><Relationship Id="rId51" Type="http://schemas.openxmlformats.org/officeDocument/2006/relationships/hyperlink" Target="https://www.fca.org.uk/publication/consultation/cp24-28.pdf"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www.bankofengland.co.uk/prudential-regulation/publication/2025/april/enhancing-banks-and-insurers-approaches-to-managing-climate-related-risks-consultation-paper" TargetMode="External"/><Relationship Id="rId17" Type="http://schemas.openxmlformats.org/officeDocument/2006/relationships/hyperlink" Target="https://www.gov.uk/government/consultations/improving-the-effectiveness-of-the-money-laundering-regulations" TargetMode="External"/><Relationship Id="rId25" Type="http://schemas.openxmlformats.org/officeDocument/2006/relationships/hyperlink" Target="https://www.bankofengland.co.uk/prudential-regulation/publication/2025/may/international-firms-upates-to-ss521-policy-statement" TargetMode="External"/><Relationship Id="rId33" Type="http://schemas.openxmlformats.org/officeDocument/2006/relationships/hyperlink" Target="https://www.bankofengland.co.uk/prudential-regulation/publication/2024/december/operational-incident-and-outsourcing-and-third-party-reporting-consultation-paper" TargetMode="External"/><Relationship Id="rId38" Type="http://schemas.openxmlformats.org/officeDocument/2006/relationships/hyperlink" Target="https://foreignbanks.org.uk/app/uploads/2023/12/AFB-response-to-FCA-CP2320-Small-Final-compressed.pdf" TargetMode="External"/><Relationship Id="rId46" Type="http://schemas.openxmlformats.org/officeDocument/2006/relationships/hyperlink" Target="https://www.foreignbanks.org.uk/app/uploads/2025/06/AFB-Response-CP4-25-260625.pdf" TargetMode="External"/><Relationship Id="rId59" Type="http://schemas.openxmlformats.org/officeDocument/2006/relationships/hyperlink" Target="https://www.fca.org.uk/publications/discussion-papers/dp23-3-review-senior-managers-certification-regime" TargetMode="External"/><Relationship Id="rId67" Type="http://schemas.openxmlformats.org/officeDocument/2006/relationships/hyperlink" Target="https://foreignbanks.org.uk/app/uploads/2025/03/AFB_Response_HoL-UK_EU-reset_070325.pdf" TargetMode="External"/><Relationship Id="rId20" Type="http://schemas.openxmlformats.org/officeDocument/2006/relationships/hyperlink" Target="https://assets.publishing.service.gov.uk/media/6878c1b42bad77c3dae4dd25/MLRs_Consultation_Response.pdf" TargetMode="External"/><Relationship Id="rId41" Type="http://schemas.openxmlformats.org/officeDocument/2006/relationships/hyperlink" Target="https://www.gov.uk/government/consultations/equality-race-and-disability-bill-mandatory-ethnicity-and-disability-pay-gap-reporting/consultation-document-html" TargetMode="External"/><Relationship Id="rId54" Type="http://schemas.openxmlformats.org/officeDocument/2006/relationships/hyperlink" Target="https://www.fca.org.uk/publications/consultation-papers/cp24-23-remuneration-reforms" TargetMode="External"/><Relationship Id="rId62" Type="http://schemas.openxmlformats.org/officeDocument/2006/relationships/hyperlink" Target="https://www.gov.uk/government/consultations/consultation-reforming-the-senior-managers-certification-regime"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ca.org.uk/publications/guidance-consultations/gc24-4-proposed-amendments-guidance-treatment-politically-exposed-persons" TargetMode="External"/><Relationship Id="rId23" Type="http://schemas.openxmlformats.org/officeDocument/2006/relationships/hyperlink" Target="https://foreignbanks.org.uk/app/uploads/2024/10/AFB-CP11-24-Consultation-response-FINAL.pdf" TargetMode="External"/><Relationship Id="rId28" Type="http://schemas.openxmlformats.org/officeDocument/2006/relationships/hyperlink" Target="https://foreignbanks.org.uk/app/uploads/2022/08/AFB-HMT_PRA_FCA-Roundtable-on-CTPs-DP3_22-260722-Summary.pdf" TargetMode="External"/><Relationship Id="rId36" Type="http://schemas.openxmlformats.org/officeDocument/2006/relationships/hyperlink" Target="https://www.fca.org.uk/publication/consultation/cp23-20.pdf" TargetMode="External"/><Relationship Id="rId49" Type="http://schemas.openxmlformats.org/officeDocument/2006/relationships/hyperlink" Target="https://www.bankofengland.co.uk/prudential-regulation/publication/2021/march/operational-resilience-impact-tolerances-for-important-business-services-ss" TargetMode="External"/><Relationship Id="rId57" Type="http://schemas.openxmlformats.org/officeDocument/2006/relationships/hyperlink" Target="https://foreignbanks.org.uk/app/uploads/2024/11/AFB_FCA-CfI_Review_of_requirements-Response_301024.pdf" TargetMode="External"/><Relationship Id="rId10" Type="http://schemas.openxmlformats.org/officeDocument/2006/relationships/hyperlink" Target="https://foreignbanks.org.uk/app/uploads/2025/02/AFB-Response-to-HMT-UK-Green-Taxonomy-Consultation_final-060225.pdf" TargetMode="External"/><Relationship Id="rId31" Type="http://schemas.openxmlformats.org/officeDocument/2006/relationships/hyperlink" Target="https://foreignbanks.org.uk/app/uploads/2025/03/AFB_Response_FCA-CP24_28_and-PRA-17_24-_130325.pdf" TargetMode="External"/><Relationship Id="rId44" Type="http://schemas.openxmlformats.org/officeDocument/2006/relationships/hyperlink" Target="https://eur-lex.europa.eu/legal-content/EN/TXT/HTML/?uri=OJ:L_202401619" TargetMode="External"/><Relationship Id="rId52" Type="http://schemas.openxmlformats.org/officeDocument/2006/relationships/hyperlink" Target="https://www.bankofengland.co.uk/prudential-regulation/publication/2024/december/operational-incident-and-outsourcing-and-third-party-reporting-consultation-paper" TargetMode="External"/><Relationship Id="rId60" Type="http://schemas.openxmlformats.org/officeDocument/2006/relationships/hyperlink" Target="https://foreignbanks.org.uk/app/uploads/2023/06/AFB-Response-to-HMT-CfE-on-SMCR-010623-Final.pdf" TargetMode="External"/><Relationship Id="rId65" Type="http://schemas.openxmlformats.org/officeDocument/2006/relationships/hyperlink" Target="https://www.bankofengland.co.uk/prudential-regulation/publication/2024/march/solvent-exit-planning-for-non-systemic-banks-and-building-societies-policy-statement"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ca.org.uk/publication/guidance-consultation/gc23-3.pdf" TargetMode="External"/><Relationship Id="rId13" Type="http://schemas.openxmlformats.org/officeDocument/2006/relationships/hyperlink" Target="https://www.foreignbanks.org.uk/app/uploads/2025/07/AFB_Response_PRA_CP1025.pdf" TargetMode="External"/><Relationship Id="rId18" Type="http://schemas.openxmlformats.org/officeDocument/2006/relationships/hyperlink" Target="https://foreignbanks.org.uk/app/uploads/2024/06/AFB_MLR-WG_-Improving-the-effectiveness-of-the-MLRs-HM-Treasury_170624.pdf" TargetMode="External"/><Relationship Id="rId39" Type="http://schemas.openxmlformats.org/officeDocument/2006/relationships/hyperlink" Target="https://foreignbanks.org.uk/app/uploads/2023/12/AFB-Response-to-PRA-CP1823-Final.pdf" TargetMode="External"/><Relationship Id="rId34" Type="http://schemas.openxmlformats.org/officeDocument/2006/relationships/hyperlink" Target="https://www.bankofengland.co.uk/-/media/boe/files/prudential-regulation/supervisory-statement/2024/ss624-november-2024.pdf" TargetMode="External"/><Relationship Id="rId50" Type="http://schemas.openxmlformats.org/officeDocument/2006/relationships/hyperlink" Target="https://foreignbanks.org.uk/app/uploads/2025/03/AFB_Response_FCA-CP24_28_and-PRA-17_24-_130325.pdf" TargetMode="External"/><Relationship Id="rId55" Type="http://schemas.openxmlformats.org/officeDocument/2006/relationships/hyperlink" Target="https://foreignbanks.org.uk/app/uploads/2025/03/AFB_Response-to-PRACP16_24_130325.pdf" TargetMode="External"/><Relationship Id="rId7" Type="http://schemas.openxmlformats.org/officeDocument/2006/relationships/hyperlink" Target="https://www.fca.org.uk/cfrf" TargetMode="Externa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swain\AppData\Roaming\Microsoft\Templates\1b_AFB%20Corporate.dotx" TargetMode="External"/></Relationships>
</file>

<file path=word/theme/theme1.xml><?xml version="1.0" encoding="utf-8"?>
<a:theme xmlns:a="http://schemas.openxmlformats.org/drawingml/2006/main" name="Office Theme">
  <a:themeElements>
    <a:clrScheme name="AFB">
      <a:dk1>
        <a:srgbClr val="00204B"/>
      </a:dk1>
      <a:lt1>
        <a:srgbClr val="FFFFFF"/>
      </a:lt1>
      <a:dk2>
        <a:srgbClr val="00204B"/>
      </a:dk2>
      <a:lt2>
        <a:srgbClr val="FFFFFF"/>
      </a:lt2>
      <a:accent1>
        <a:srgbClr val="004BFF"/>
      </a:accent1>
      <a:accent2>
        <a:srgbClr val="247EFF"/>
      </a:accent2>
      <a:accent3>
        <a:srgbClr val="E9EFF7"/>
      </a:accent3>
      <a:accent4>
        <a:srgbClr val="333859"/>
      </a:accent4>
      <a:accent5>
        <a:srgbClr val="A5A7B5"/>
      </a:accent5>
      <a:accent6>
        <a:srgbClr val="247EFF"/>
      </a:accent6>
      <a:hlink>
        <a:srgbClr val="004BFF"/>
      </a:hlink>
      <a:folHlink>
        <a:srgbClr val="004B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1b_AFB Corporate</Template>
  <TotalTime>1</TotalTime>
  <Pages>5</Pages>
  <Words>2962</Words>
  <Characters>16886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Swain</dc:creator>
  <cp:keywords/>
  <dc:description/>
  <cp:lastModifiedBy>Ethan Moxam</cp:lastModifiedBy>
  <cp:revision>2</cp:revision>
  <cp:lastPrinted>2025-08-18T10:26:00Z</cp:lastPrinted>
  <dcterms:created xsi:type="dcterms:W3CDTF">2025-09-01T15:31:00Z</dcterms:created>
  <dcterms:modified xsi:type="dcterms:W3CDTF">2025-09-01T15:31:00Z</dcterms:modified>
</cp:coreProperties>
</file>